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A28D">
      <w:pPr>
        <w:spacing w:line="240" w:lineRule="auto"/>
        <w:jc w:val="center"/>
        <w:rPr>
          <w:rFonts w:hint="eastAsia" w:ascii="宋体" w:hAnsi="宋体" w:cs="宋体"/>
          <w:b/>
          <w:sz w:val="18"/>
          <w:szCs w:val="18"/>
        </w:rPr>
      </w:pPr>
      <w:bookmarkStart w:id="0" w:name="_Toc91323624"/>
      <w:bookmarkStart w:id="1" w:name="_Toc91323623"/>
      <w:r>
        <w:rPr>
          <w:rFonts w:hint="eastAsia" w:ascii="宋体" w:hAnsi="宋体" w:cs="宋体"/>
          <w:b/>
          <w:sz w:val="36"/>
          <w:szCs w:val="36"/>
          <w:lang w:val="en-US" w:eastAsia="zh-CN"/>
        </w:rPr>
        <w:t>评分表</w:t>
      </w:r>
      <w:bookmarkStart w:id="2" w:name="_GoBack"/>
      <w:bookmarkEnd w:id="2"/>
    </w:p>
    <w:tbl>
      <w:tblPr>
        <w:tblStyle w:val="3"/>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7"/>
        <w:gridCol w:w="1018"/>
        <w:gridCol w:w="810"/>
        <w:gridCol w:w="6433"/>
      </w:tblGrid>
      <w:tr w14:paraId="4915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blHeader/>
          <w:jc w:val="center"/>
        </w:trPr>
        <w:tc>
          <w:tcPr>
            <w:tcW w:w="1137" w:type="dxa"/>
            <w:vAlign w:val="center"/>
          </w:tcPr>
          <w:p w14:paraId="7CCD3C9B">
            <w:pPr>
              <w:spacing w:line="240" w:lineRule="auto"/>
              <w:jc w:val="center"/>
              <w:rPr>
                <w:rFonts w:hint="eastAsia" w:ascii="宋体" w:hAnsi="宋体" w:cs="宋体"/>
                <w:b/>
                <w:sz w:val="21"/>
                <w:szCs w:val="21"/>
              </w:rPr>
            </w:pPr>
            <w:r>
              <w:rPr>
                <w:rFonts w:hint="eastAsia" w:ascii="宋体" w:hAnsi="宋体" w:cs="宋体"/>
                <w:b/>
                <w:sz w:val="21"/>
                <w:szCs w:val="21"/>
              </w:rPr>
              <w:t>类别类别</w:t>
            </w:r>
          </w:p>
        </w:tc>
        <w:tc>
          <w:tcPr>
            <w:tcW w:w="1018" w:type="dxa"/>
            <w:vAlign w:val="center"/>
          </w:tcPr>
          <w:p w14:paraId="3AF68385">
            <w:pPr>
              <w:spacing w:line="240" w:lineRule="auto"/>
              <w:jc w:val="center"/>
              <w:rPr>
                <w:rFonts w:hint="eastAsia" w:ascii="宋体" w:hAnsi="宋体" w:cs="宋体"/>
                <w:b/>
                <w:sz w:val="21"/>
                <w:szCs w:val="21"/>
              </w:rPr>
            </w:pPr>
            <w:r>
              <w:rPr>
                <w:rFonts w:hint="eastAsia" w:ascii="宋体" w:hAnsi="宋体" w:cs="宋体"/>
                <w:b/>
                <w:sz w:val="21"/>
                <w:szCs w:val="21"/>
              </w:rPr>
              <w:t>评分项目</w:t>
            </w:r>
          </w:p>
        </w:tc>
        <w:tc>
          <w:tcPr>
            <w:tcW w:w="810" w:type="dxa"/>
            <w:vAlign w:val="center"/>
          </w:tcPr>
          <w:p w14:paraId="57867A4B">
            <w:pPr>
              <w:spacing w:line="240" w:lineRule="auto"/>
              <w:jc w:val="center"/>
              <w:rPr>
                <w:rFonts w:hint="eastAsia" w:ascii="宋体" w:hAnsi="宋体" w:cs="宋体"/>
                <w:b/>
                <w:sz w:val="21"/>
                <w:szCs w:val="21"/>
              </w:rPr>
            </w:pPr>
            <w:r>
              <w:rPr>
                <w:rFonts w:hint="eastAsia" w:ascii="宋体" w:hAnsi="宋体" w:cs="宋体"/>
                <w:b/>
                <w:sz w:val="21"/>
                <w:szCs w:val="21"/>
              </w:rPr>
              <w:t>分值</w:t>
            </w:r>
          </w:p>
        </w:tc>
        <w:tc>
          <w:tcPr>
            <w:tcW w:w="6433" w:type="dxa"/>
            <w:vAlign w:val="center"/>
          </w:tcPr>
          <w:p w14:paraId="32EDA73B">
            <w:pPr>
              <w:spacing w:line="240" w:lineRule="auto"/>
              <w:jc w:val="center"/>
              <w:rPr>
                <w:rFonts w:hint="eastAsia" w:ascii="宋体" w:hAnsi="宋体" w:cs="宋体"/>
                <w:b/>
                <w:sz w:val="21"/>
                <w:szCs w:val="21"/>
              </w:rPr>
            </w:pPr>
            <w:r>
              <w:rPr>
                <w:rFonts w:hint="eastAsia" w:ascii="宋体" w:hAnsi="宋体" w:cs="宋体"/>
                <w:b/>
                <w:sz w:val="21"/>
                <w:szCs w:val="21"/>
              </w:rPr>
              <w:t>评分标准</w:t>
            </w:r>
          </w:p>
        </w:tc>
      </w:tr>
      <w:tr w14:paraId="729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5" w:hRule="atLeast"/>
          <w:jc w:val="center"/>
        </w:trPr>
        <w:tc>
          <w:tcPr>
            <w:tcW w:w="1137" w:type="dxa"/>
            <w:vAlign w:val="center"/>
          </w:tcPr>
          <w:p w14:paraId="3ED0CDE7">
            <w:pPr>
              <w:spacing w:line="240" w:lineRule="auto"/>
              <w:jc w:val="center"/>
              <w:rPr>
                <w:rFonts w:hint="eastAsia" w:ascii="宋体" w:hAnsi="宋体" w:cs="宋体"/>
                <w:sz w:val="21"/>
                <w:szCs w:val="21"/>
              </w:rPr>
            </w:pPr>
            <w:r>
              <w:rPr>
                <w:rFonts w:hint="eastAsia" w:ascii="宋体" w:hAnsi="宋体" w:cs="宋体"/>
                <w:sz w:val="21"/>
                <w:szCs w:val="21"/>
              </w:rPr>
              <w:t>价格部分</w:t>
            </w:r>
          </w:p>
          <w:p w14:paraId="787AE9A8">
            <w:pPr>
              <w:spacing w:line="240" w:lineRule="auto"/>
              <w:jc w:val="center"/>
              <w:rPr>
                <w:rFonts w:hint="eastAsia" w:ascii="宋体" w:hAnsi="宋体" w:cs="宋体"/>
                <w:sz w:val="21"/>
                <w:szCs w:val="21"/>
              </w:rPr>
            </w:pPr>
            <w:r>
              <w:rPr>
                <w:rFonts w:hint="eastAsia" w:ascii="宋体" w:hAnsi="宋体" w:cs="宋体"/>
                <w:sz w:val="21"/>
                <w:szCs w:val="21"/>
              </w:rPr>
              <w:t>30分</w:t>
            </w:r>
          </w:p>
        </w:tc>
        <w:tc>
          <w:tcPr>
            <w:tcW w:w="1018" w:type="dxa"/>
            <w:vAlign w:val="center"/>
          </w:tcPr>
          <w:p w14:paraId="4182A88E">
            <w:pPr>
              <w:spacing w:line="240" w:lineRule="auto"/>
              <w:jc w:val="center"/>
              <w:rPr>
                <w:rFonts w:hint="eastAsia" w:ascii="宋体" w:hAnsi="宋体" w:cs="宋体"/>
                <w:sz w:val="21"/>
                <w:szCs w:val="21"/>
              </w:rPr>
            </w:pPr>
            <w:r>
              <w:rPr>
                <w:rFonts w:hint="eastAsia" w:ascii="宋体" w:hAnsi="宋体" w:cs="宋体"/>
                <w:sz w:val="21"/>
                <w:szCs w:val="21"/>
              </w:rPr>
              <w:t>报价得分</w:t>
            </w:r>
          </w:p>
        </w:tc>
        <w:tc>
          <w:tcPr>
            <w:tcW w:w="810" w:type="dxa"/>
            <w:vAlign w:val="center"/>
          </w:tcPr>
          <w:p w14:paraId="29C0BBD0">
            <w:pPr>
              <w:spacing w:line="240" w:lineRule="auto"/>
              <w:jc w:val="center"/>
              <w:rPr>
                <w:rFonts w:hint="eastAsia" w:ascii="宋体" w:hAnsi="宋体" w:cs="宋体"/>
                <w:sz w:val="21"/>
                <w:szCs w:val="21"/>
              </w:rPr>
            </w:pPr>
            <w:r>
              <w:rPr>
                <w:rFonts w:hint="eastAsia" w:ascii="宋体" w:hAnsi="宋体" w:cs="宋体"/>
                <w:sz w:val="21"/>
                <w:szCs w:val="21"/>
              </w:rPr>
              <w:t>30分</w:t>
            </w:r>
          </w:p>
        </w:tc>
        <w:tc>
          <w:tcPr>
            <w:tcW w:w="6433" w:type="dxa"/>
            <w:vAlign w:val="center"/>
          </w:tcPr>
          <w:p w14:paraId="33827FF6">
            <w:pPr>
              <w:spacing w:line="240" w:lineRule="auto"/>
              <w:ind w:right="21" w:rightChars="10"/>
              <w:rPr>
                <w:rFonts w:hint="eastAsia" w:ascii="宋体" w:hAnsi="宋体" w:cs="宋体"/>
                <w:sz w:val="21"/>
                <w:szCs w:val="21"/>
              </w:rPr>
            </w:pPr>
            <w:r>
              <w:rPr>
                <w:rFonts w:hint="eastAsia" w:ascii="宋体" w:hAnsi="宋体" w:cs="宋体"/>
                <w:sz w:val="21"/>
                <w:szCs w:val="21"/>
              </w:rPr>
              <w:t>报价评分时，满足磋商文件要求且最后报价最低的有效投标报价为投标基准价，其报价得分计30分。其他投标人的报价得分统一按公式计算：</w:t>
            </w:r>
          </w:p>
          <w:p w14:paraId="64798296">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报价得分=投标报价得分=（评标基准价/投标报价）*价格权值*100（本次招标价格权值为30%）。（四舍五入后保留小数点后两位）</w:t>
            </w:r>
          </w:p>
          <w:p w14:paraId="12618B06">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1）投标人不得低于成本或市场价恶意竞标，磋商小组会认为投标人的报价明显低于其他通过符合性审查投标人的报价，有可能影响服务质量或者不能诚信履约的，应当要求其在评标现场合理的时间内提供书面说明，必要时提交相关证明材料；投标人不能证明其报价合理性的，磋商小组应当将其作为无效投标处理。</w:t>
            </w:r>
          </w:p>
        </w:tc>
      </w:tr>
      <w:tr w14:paraId="6149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1137" w:type="dxa"/>
            <w:vMerge w:val="restart"/>
            <w:vAlign w:val="center"/>
          </w:tcPr>
          <w:p w14:paraId="5CC80797">
            <w:pPr>
              <w:spacing w:line="240" w:lineRule="auto"/>
              <w:jc w:val="center"/>
              <w:rPr>
                <w:rFonts w:hint="eastAsia" w:ascii="宋体" w:hAnsi="宋体" w:cs="宋体"/>
                <w:sz w:val="21"/>
                <w:szCs w:val="21"/>
              </w:rPr>
            </w:pPr>
            <w:r>
              <w:rPr>
                <w:rFonts w:hint="eastAsia" w:ascii="宋体" w:hAnsi="宋体" w:cs="宋体"/>
                <w:sz w:val="21"/>
                <w:szCs w:val="21"/>
              </w:rPr>
              <w:t>商务部分</w:t>
            </w:r>
          </w:p>
          <w:p w14:paraId="1DB9B9BB">
            <w:pPr>
              <w:pStyle w:val="2"/>
              <w:spacing w:line="240" w:lineRule="auto"/>
              <w:jc w:val="center"/>
              <w:rPr>
                <w:rFonts w:hint="eastAsia" w:cs="宋体"/>
                <w:sz w:val="21"/>
                <w:szCs w:val="21"/>
              </w:rPr>
            </w:pPr>
            <w:r>
              <w:rPr>
                <w:rFonts w:hint="eastAsia" w:cs="宋体"/>
                <w:sz w:val="21"/>
                <w:szCs w:val="21"/>
                <w:lang w:eastAsia="zh-CN"/>
              </w:rPr>
              <w:t>1</w:t>
            </w:r>
            <w:r>
              <w:rPr>
                <w:rFonts w:hint="eastAsia" w:cs="宋体"/>
                <w:sz w:val="21"/>
                <w:szCs w:val="21"/>
                <w:lang w:val="en-US" w:eastAsia="zh-CN"/>
              </w:rPr>
              <w:t>8</w:t>
            </w:r>
            <w:r>
              <w:rPr>
                <w:rFonts w:hint="eastAsia" w:cs="宋体"/>
                <w:sz w:val="21"/>
                <w:szCs w:val="21"/>
              </w:rPr>
              <w:t>分</w:t>
            </w:r>
          </w:p>
        </w:tc>
        <w:tc>
          <w:tcPr>
            <w:tcW w:w="1018" w:type="dxa"/>
            <w:vAlign w:val="center"/>
          </w:tcPr>
          <w:p w14:paraId="0DA31B20">
            <w:pPr>
              <w:spacing w:line="240" w:lineRule="auto"/>
              <w:jc w:val="center"/>
              <w:rPr>
                <w:rFonts w:hint="eastAsia" w:ascii="宋体" w:hAnsi="宋体" w:cs="宋体"/>
                <w:sz w:val="21"/>
                <w:szCs w:val="21"/>
              </w:rPr>
            </w:pPr>
            <w:r>
              <w:rPr>
                <w:rFonts w:hint="eastAsia" w:ascii="宋体" w:hAnsi="宋体" w:cs="宋体"/>
                <w:sz w:val="21"/>
                <w:szCs w:val="21"/>
              </w:rPr>
              <w:t>业绩</w:t>
            </w:r>
          </w:p>
        </w:tc>
        <w:tc>
          <w:tcPr>
            <w:tcW w:w="810" w:type="dxa"/>
            <w:vAlign w:val="center"/>
          </w:tcPr>
          <w:p w14:paraId="6433BE85">
            <w:pPr>
              <w:spacing w:line="240" w:lineRule="auto"/>
              <w:jc w:val="center"/>
              <w:rPr>
                <w:rFonts w:hint="eastAsia" w:ascii="宋体" w:hAnsi="宋体" w:cs="宋体"/>
                <w:sz w:val="21"/>
                <w:szCs w:val="21"/>
              </w:rPr>
            </w:pPr>
            <w:r>
              <w:rPr>
                <w:rFonts w:hint="eastAsia" w:ascii="宋体" w:hAnsi="宋体" w:cs="宋体"/>
                <w:sz w:val="21"/>
                <w:szCs w:val="21"/>
              </w:rPr>
              <w:t>7分</w:t>
            </w:r>
          </w:p>
        </w:tc>
        <w:tc>
          <w:tcPr>
            <w:tcW w:w="6433" w:type="dxa"/>
            <w:vAlign w:val="center"/>
          </w:tcPr>
          <w:p w14:paraId="732E8F18">
            <w:pPr>
              <w:spacing w:line="240" w:lineRule="auto"/>
              <w:ind w:right="21" w:rightChars="10"/>
              <w:rPr>
                <w:rFonts w:hint="eastAsia" w:ascii="宋体" w:hAnsi="宋体" w:cs="宋体"/>
                <w:sz w:val="21"/>
                <w:szCs w:val="21"/>
              </w:rPr>
            </w:pPr>
            <w:r>
              <w:rPr>
                <w:rFonts w:hint="eastAsia" w:ascii="宋体" w:hAnsi="宋体" w:cs="宋体"/>
                <w:sz w:val="21"/>
                <w:szCs w:val="21"/>
              </w:rPr>
              <w:t>投标人提供 2022 年 2 月 1 日以来（以合同签订日期为准）同类项目业绩，每一份有效业绩得 1 分，满分 7 分。</w:t>
            </w:r>
          </w:p>
          <w:p w14:paraId="43FE36E0">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注：提供合同复印件加盖公章,且不得遮盖任何关键信息。</w:t>
            </w:r>
          </w:p>
        </w:tc>
      </w:tr>
      <w:tr w14:paraId="67C4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1137" w:type="dxa"/>
            <w:vMerge w:val="continue"/>
            <w:vAlign w:val="center"/>
          </w:tcPr>
          <w:p w14:paraId="0D2BA576">
            <w:pPr>
              <w:pStyle w:val="2"/>
              <w:spacing w:line="240" w:lineRule="auto"/>
              <w:jc w:val="center"/>
              <w:rPr>
                <w:rFonts w:hint="eastAsia" w:cs="宋体"/>
                <w:sz w:val="21"/>
                <w:szCs w:val="21"/>
                <w:lang w:eastAsia="zh-CN"/>
              </w:rPr>
            </w:pPr>
          </w:p>
        </w:tc>
        <w:tc>
          <w:tcPr>
            <w:tcW w:w="1018" w:type="dxa"/>
            <w:vAlign w:val="center"/>
          </w:tcPr>
          <w:p w14:paraId="1BAB6752">
            <w:pPr>
              <w:spacing w:line="240" w:lineRule="auto"/>
              <w:jc w:val="center"/>
              <w:rPr>
                <w:rFonts w:hint="eastAsia" w:ascii="宋体" w:hAnsi="宋体" w:cs="宋体"/>
                <w:sz w:val="21"/>
                <w:szCs w:val="21"/>
              </w:rPr>
            </w:pPr>
            <w:r>
              <w:rPr>
                <w:rFonts w:hint="eastAsia" w:ascii="宋体" w:hAnsi="宋体" w:cs="宋体"/>
                <w:sz w:val="21"/>
                <w:szCs w:val="21"/>
              </w:rPr>
              <w:t>企业实力</w:t>
            </w:r>
          </w:p>
        </w:tc>
        <w:tc>
          <w:tcPr>
            <w:tcW w:w="810" w:type="dxa"/>
            <w:vAlign w:val="center"/>
          </w:tcPr>
          <w:p w14:paraId="5B810D09">
            <w:pPr>
              <w:spacing w:line="240" w:lineRule="auto"/>
              <w:jc w:val="center"/>
              <w:rPr>
                <w:rFonts w:hint="eastAsia" w:ascii="宋体" w:hAnsi="宋体" w:cs="宋体"/>
                <w:sz w:val="21"/>
                <w:szCs w:val="21"/>
              </w:rPr>
            </w:pPr>
            <w:r>
              <w:rPr>
                <w:rFonts w:hint="eastAsia" w:ascii="宋体" w:hAnsi="宋体" w:cs="宋体"/>
                <w:sz w:val="21"/>
                <w:szCs w:val="21"/>
              </w:rPr>
              <w:t>6分</w:t>
            </w:r>
          </w:p>
        </w:tc>
        <w:tc>
          <w:tcPr>
            <w:tcW w:w="6433" w:type="dxa"/>
            <w:vAlign w:val="center"/>
          </w:tcPr>
          <w:p w14:paraId="082F2EC3">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供应商具有质量管理体系认证证书、环境管理体系认证证书、</w:t>
            </w:r>
          </w:p>
          <w:p w14:paraId="70614D61">
            <w:pPr>
              <w:spacing w:line="240" w:lineRule="auto"/>
              <w:ind w:left="21" w:leftChars="10" w:right="21" w:rightChars="10"/>
              <w:rPr>
                <w:rFonts w:hint="eastAsia" w:ascii="宋体" w:hAnsi="宋体" w:cs="宋体"/>
                <w:sz w:val="21"/>
                <w:szCs w:val="21"/>
                <w:lang w:eastAsia="zh-CN"/>
              </w:rPr>
            </w:pPr>
            <w:r>
              <w:rPr>
                <w:rFonts w:hint="eastAsia" w:ascii="宋体" w:hAnsi="宋体" w:cs="宋体"/>
                <w:sz w:val="21"/>
                <w:szCs w:val="21"/>
              </w:rPr>
              <w:t>职业健康安全管理体系认证证书，每提供一项得2分，满分6分。</w:t>
            </w:r>
          </w:p>
          <w:p w14:paraId="21351C3D">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备注：管理体系认证证书需包含放射卫生检测及评价，如不包含则无效不得分。</w:t>
            </w:r>
          </w:p>
        </w:tc>
      </w:tr>
      <w:tr w14:paraId="3B77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1137" w:type="dxa"/>
            <w:vMerge w:val="continue"/>
            <w:vAlign w:val="center"/>
          </w:tcPr>
          <w:p w14:paraId="133321CB">
            <w:pPr>
              <w:pStyle w:val="2"/>
              <w:spacing w:line="240" w:lineRule="auto"/>
              <w:jc w:val="center"/>
              <w:rPr>
                <w:rFonts w:hint="eastAsia" w:cs="宋体"/>
                <w:sz w:val="21"/>
                <w:szCs w:val="21"/>
                <w:lang w:eastAsia="zh-CN"/>
              </w:rPr>
            </w:pPr>
          </w:p>
        </w:tc>
        <w:tc>
          <w:tcPr>
            <w:tcW w:w="1018" w:type="dxa"/>
            <w:vAlign w:val="center"/>
          </w:tcPr>
          <w:p w14:paraId="1769036C">
            <w:pPr>
              <w:spacing w:line="240" w:lineRule="auto"/>
              <w:jc w:val="center"/>
              <w:rPr>
                <w:rFonts w:hint="eastAsia" w:ascii="宋体" w:hAnsi="宋体" w:cs="宋体"/>
                <w:sz w:val="21"/>
                <w:szCs w:val="21"/>
              </w:rPr>
            </w:pPr>
            <w:r>
              <w:rPr>
                <w:rFonts w:hint="eastAsia" w:ascii="宋体" w:hAnsi="宋体" w:cs="宋体"/>
                <w:sz w:val="21"/>
                <w:szCs w:val="21"/>
              </w:rPr>
              <w:t>人员配置</w:t>
            </w:r>
          </w:p>
        </w:tc>
        <w:tc>
          <w:tcPr>
            <w:tcW w:w="810" w:type="dxa"/>
            <w:vAlign w:val="center"/>
          </w:tcPr>
          <w:p w14:paraId="2A4714E8">
            <w:pPr>
              <w:spacing w:line="240" w:lineRule="auto"/>
              <w:jc w:val="center"/>
              <w:rPr>
                <w:rFonts w:hint="eastAsia" w:ascii="宋体" w:hAnsi="宋体" w:cs="宋体"/>
                <w:sz w:val="21"/>
                <w:szCs w:val="21"/>
              </w:rPr>
            </w:pPr>
            <w:r>
              <w:rPr>
                <w:rFonts w:hint="eastAsia" w:ascii="宋体" w:hAnsi="宋体" w:cs="宋体"/>
                <w:sz w:val="21"/>
                <w:szCs w:val="21"/>
              </w:rPr>
              <w:t>5分</w:t>
            </w:r>
          </w:p>
        </w:tc>
        <w:tc>
          <w:tcPr>
            <w:tcW w:w="6433" w:type="dxa"/>
            <w:vAlign w:val="center"/>
          </w:tcPr>
          <w:p w14:paraId="60A4A12C">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供应商针对本项目拟配置的专业技术人员：</w:t>
            </w:r>
          </w:p>
          <w:p w14:paraId="0FBF4A85">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拟投入人员具有高级职称每提供 1 人得 3 分，中级职称每提供1 人得 0.5 分，满分 5 分。</w:t>
            </w:r>
          </w:p>
          <w:p w14:paraId="10A1F027">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注明：所投入的人员须提供本单位为其缴纳至少一个月的社</w:t>
            </w:r>
          </w:p>
          <w:p w14:paraId="71A6B5E2">
            <w:pPr>
              <w:spacing w:line="240" w:lineRule="auto"/>
              <w:ind w:left="21" w:leftChars="10" w:right="21" w:rightChars="10"/>
              <w:rPr>
                <w:rFonts w:hint="eastAsia" w:ascii="宋体" w:hAnsi="宋体" w:cs="宋体"/>
                <w:sz w:val="21"/>
                <w:szCs w:val="21"/>
              </w:rPr>
            </w:pPr>
            <w:r>
              <w:rPr>
                <w:rFonts w:hint="eastAsia" w:ascii="宋体" w:hAnsi="宋体" w:cs="宋体"/>
                <w:sz w:val="21"/>
                <w:szCs w:val="21"/>
              </w:rPr>
              <w:t>保证明材料。</w:t>
            </w:r>
          </w:p>
        </w:tc>
      </w:tr>
      <w:tr w14:paraId="6D90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1" w:hRule="atLeast"/>
          <w:jc w:val="center"/>
        </w:trPr>
        <w:tc>
          <w:tcPr>
            <w:tcW w:w="1137" w:type="dxa"/>
            <w:vMerge w:val="restart"/>
            <w:vAlign w:val="center"/>
          </w:tcPr>
          <w:p w14:paraId="1848A475">
            <w:pPr>
              <w:spacing w:line="240" w:lineRule="auto"/>
              <w:jc w:val="center"/>
              <w:rPr>
                <w:rFonts w:hint="eastAsia" w:ascii="宋体" w:hAnsi="宋体" w:cs="宋体"/>
                <w:sz w:val="21"/>
                <w:szCs w:val="21"/>
              </w:rPr>
            </w:pPr>
            <w:r>
              <w:rPr>
                <w:rFonts w:hint="eastAsia" w:ascii="宋体" w:hAnsi="宋体" w:cs="宋体"/>
                <w:sz w:val="21"/>
                <w:szCs w:val="21"/>
              </w:rPr>
              <w:t>技术部分</w:t>
            </w:r>
          </w:p>
          <w:p w14:paraId="6EF8ECC4">
            <w:pPr>
              <w:spacing w:line="240" w:lineRule="auto"/>
              <w:jc w:val="center"/>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2</w:t>
            </w:r>
            <w:r>
              <w:rPr>
                <w:rFonts w:hint="eastAsia" w:ascii="宋体" w:hAnsi="宋体" w:cs="宋体"/>
                <w:sz w:val="21"/>
                <w:szCs w:val="21"/>
              </w:rPr>
              <w:t>分</w:t>
            </w:r>
          </w:p>
        </w:tc>
        <w:tc>
          <w:tcPr>
            <w:tcW w:w="1018" w:type="dxa"/>
            <w:vAlign w:val="center"/>
          </w:tcPr>
          <w:p w14:paraId="02805CBB">
            <w:pPr>
              <w:pStyle w:val="5"/>
              <w:widowControl w:val="0"/>
              <w:snapToGrid/>
              <w:spacing w:line="240" w:lineRule="auto"/>
              <w:ind w:firstLine="0" w:firstLineChars="0"/>
              <w:jc w:val="center"/>
              <w:rPr>
                <w:rFonts w:hint="eastAsia" w:ascii="宋体" w:hAnsi="宋体" w:eastAsia="宋体" w:cs="宋体"/>
                <w:bCs/>
                <w:sz w:val="21"/>
                <w:szCs w:val="21"/>
                <w:lang w:val="zh-CN" w:bidi="en-US"/>
              </w:rPr>
            </w:pPr>
            <w:r>
              <w:rPr>
                <w:rFonts w:hint="eastAsia" w:ascii="宋体" w:hAnsi="宋体" w:eastAsia="宋体" w:cs="宋体"/>
                <w:bCs/>
                <w:sz w:val="21"/>
                <w:szCs w:val="21"/>
                <w:lang w:bidi="en-US"/>
              </w:rPr>
              <w:t>服务方案及质量保证措施</w:t>
            </w:r>
          </w:p>
        </w:tc>
        <w:tc>
          <w:tcPr>
            <w:tcW w:w="810" w:type="dxa"/>
            <w:vAlign w:val="center"/>
          </w:tcPr>
          <w:p w14:paraId="435F4BAB">
            <w:pPr>
              <w:spacing w:line="240" w:lineRule="auto"/>
              <w:jc w:val="center"/>
              <w:rPr>
                <w:rFonts w:hint="eastAsia" w:ascii="宋体" w:hAnsi="宋体" w:cs="宋体"/>
                <w:sz w:val="21"/>
                <w:szCs w:val="21"/>
              </w:rPr>
            </w:pPr>
            <w:r>
              <w:rPr>
                <w:rFonts w:hint="eastAsia" w:ascii="宋体" w:hAnsi="宋体" w:cs="宋体"/>
                <w:sz w:val="21"/>
                <w:szCs w:val="21"/>
              </w:rPr>
              <w:t>12分</w:t>
            </w:r>
          </w:p>
        </w:tc>
        <w:tc>
          <w:tcPr>
            <w:tcW w:w="6433" w:type="dxa"/>
          </w:tcPr>
          <w:p w14:paraId="1D7404F0">
            <w:pPr>
              <w:pStyle w:val="5"/>
              <w:widowControl w:val="0"/>
              <w:adjustRightInd/>
              <w:snapToGrid/>
              <w:spacing w:after="0" w:line="240" w:lineRule="auto"/>
              <w:ind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供应商应针对本项目提供服务方案及质量保证措施（包括但不</w:t>
            </w:r>
          </w:p>
          <w:p w14:paraId="6F791D57">
            <w:pPr>
              <w:pStyle w:val="5"/>
              <w:widowControl w:val="0"/>
              <w:adjustRightInd/>
              <w:snapToGrid/>
              <w:spacing w:after="0" w:line="240" w:lineRule="auto"/>
              <w:ind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限于：服务标准、服务管理、服务措施、服务评价、检测计划</w:t>
            </w:r>
          </w:p>
          <w:p w14:paraId="20CFEC36">
            <w:pPr>
              <w:pStyle w:val="5"/>
              <w:widowControl w:val="0"/>
              <w:adjustRightInd/>
              <w:snapToGrid/>
              <w:spacing w:after="0" w:line="240" w:lineRule="auto"/>
              <w:ind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安排、质量管控等方面）①服务方案流程清晰具体合理，对本</w:t>
            </w:r>
          </w:p>
          <w:p w14:paraId="0D249220">
            <w:pPr>
              <w:pStyle w:val="5"/>
              <w:widowControl w:val="0"/>
              <w:adjustRightInd/>
              <w:snapToGrid/>
              <w:spacing w:after="0" w:line="240" w:lineRule="auto"/>
              <w:ind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rPr>
              <w:t>次检测服务流程完全熟悉，质量保证措施完善、全面，完全符</w:t>
            </w:r>
          </w:p>
          <w:p w14:paraId="30D76DFF">
            <w:pPr>
              <w:pStyle w:val="5"/>
              <w:widowControl w:val="0"/>
              <w:adjustRightInd/>
              <w:snapToGrid/>
              <w:spacing w:after="0" w:line="240" w:lineRule="auto"/>
              <w:ind w:firstLine="0" w:firstLineChars="0"/>
              <w:jc w:val="both"/>
              <w:rPr>
                <w:rFonts w:hint="eastAsia" w:ascii="宋体" w:hAnsi="宋体" w:eastAsia="宋体" w:cs="宋体"/>
                <w:bCs/>
                <w:sz w:val="21"/>
                <w:szCs w:val="21"/>
                <w:lang w:val="zh-CN" w:bidi="zh-CN"/>
              </w:rPr>
            </w:pPr>
            <w:r>
              <w:rPr>
                <w:rFonts w:hint="eastAsia" w:ascii="宋体" w:hAnsi="宋体" w:eastAsia="宋体" w:cs="宋体"/>
                <w:kern w:val="2"/>
                <w:sz w:val="21"/>
                <w:szCs w:val="21"/>
              </w:rPr>
              <w:t>合本次采购需求得12分；②服务方案流程比较清晰具体合理，对本次检测服务流程比较熟悉，质量保证措施比较完善，符合本次采购需求得10分；③服务方案流程合理性存在一定的缺陷，对本次检测服务流程熟悉程度存在偏差，质量保证措施一般，基本符合本次采购需求得7分；④服务方案流程模糊不具体，对本次检测服务流程不够熟悉，质量保证措施较差，基本达到本次采购需求得3分；⑤未提供服务方案及服务质量保证措施的不得分。</w:t>
            </w:r>
          </w:p>
        </w:tc>
      </w:tr>
      <w:tr w14:paraId="0D60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1137" w:type="dxa"/>
            <w:vMerge w:val="continue"/>
            <w:vAlign w:val="center"/>
          </w:tcPr>
          <w:p w14:paraId="5A6490CA">
            <w:pPr>
              <w:spacing w:line="240" w:lineRule="auto"/>
              <w:jc w:val="center"/>
              <w:rPr>
                <w:rFonts w:hint="eastAsia" w:ascii="宋体" w:hAnsi="宋体" w:cs="宋体"/>
                <w:sz w:val="21"/>
                <w:szCs w:val="21"/>
              </w:rPr>
            </w:pPr>
          </w:p>
        </w:tc>
        <w:tc>
          <w:tcPr>
            <w:tcW w:w="1018" w:type="dxa"/>
            <w:vAlign w:val="center"/>
          </w:tcPr>
          <w:p w14:paraId="1016C8DA">
            <w:pPr>
              <w:spacing w:line="240" w:lineRule="auto"/>
              <w:jc w:val="center"/>
              <w:textAlignment w:val="baseline"/>
              <w:rPr>
                <w:rFonts w:hint="eastAsia" w:ascii="宋体" w:hAnsi="宋体" w:cs="宋体"/>
                <w:bCs/>
                <w:sz w:val="21"/>
                <w:szCs w:val="21"/>
                <w:lang w:val="zh-CN" w:bidi="zh-CN"/>
              </w:rPr>
            </w:pPr>
            <w:r>
              <w:rPr>
                <w:rFonts w:hint="eastAsia" w:ascii="宋体" w:hAnsi="宋体" w:cs="宋体"/>
                <w:bCs/>
                <w:sz w:val="21"/>
                <w:szCs w:val="21"/>
              </w:rPr>
              <w:t>配备设备</w:t>
            </w:r>
          </w:p>
        </w:tc>
        <w:tc>
          <w:tcPr>
            <w:tcW w:w="810" w:type="dxa"/>
            <w:vAlign w:val="center"/>
          </w:tcPr>
          <w:p w14:paraId="21507FE2">
            <w:pPr>
              <w:spacing w:line="240" w:lineRule="auto"/>
              <w:jc w:val="center"/>
              <w:rPr>
                <w:rFonts w:hint="eastAsia" w:ascii="宋体" w:hAnsi="宋体" w:cs="宋体"/>
                <w:sz w:val="21"/>
                <w:szCs w:val="21"/>
              </w:rPr>
            </w:pPr>
            <w:r>
              <w:rPr>
                <w:rFonts w:hint="eastAsia" w:ascii="宋体" w:hAnsi="宋体" w:cs="宋体"/>
                <w:sz w:val="21"/>
                <w:szCs w:val="21"/>
              </w:rPr>
              <w:t>7分</w:t>
            </w:r>
          </w:p>
        </w:tc>
        <w:tc>
          <w:tcPr>
            <w:tcW w:w="6433" w:type="dxa"/>
          </w:tcPr>
          <w:p w14:paraId="1D33E8CA">
            <w:pPr>
              <w:spacing w:line="240" w:lineRule="auto"/>
              <w:textAlignment w:val="baseline"/>
              <w:rPr>
                <w:rFonts w:hint="eastAsia" w:ascii="宋体" w:hAnsi="宋体" w:cs="宋体"/>
                <w:bCs/>
                <w:sz w:val="21"/>
                <w:szCs w:val="21"/>
                <w:lang w:bidi="zh-CN"/>
              </w:rPr>
            </w:pPr>
            <w:r>
              <w:rPr>
                <w:rFonts w:hint="eastAsia" w:ascii="宋体" w:hAnsi="宋体" w:cs="宋体"/>
                <w:bCs/>
                <w:sz w:val="21"/>
                <w:szCs w:val="21"/>
              </w:rPr>
              <w:t>供应商提供能够满足检测任务需要所配置的检测检验设备(包含但不限于符合国家标准要求的检测设备、分析设备)，并提供检测计量检定证书，完全满足采购需求得7分、基本满足采购需求得3分，未提供者不得分。</w:t>
            </w:r>
          </w:p>
        </w:tc>
      </w:tr>
      <w:tr w14:paraId="4B2D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1" w:hRule="atLeast"/>
          <w:jc w:val="center"/>
        </w:trPr>
        <w:tc>
          <w:tcPr>
            <w:tcW w:w="1137" w:type="dxa"/>
            <w:vMerge w:val="continue"/>
            <w:vAlign w:val="center"/>
          </w:tcPr>
          <w:p w14:paraId="6C250A0B">
            <w:pPr>
              <w:spacing w:line="240" w:lineRule="auto"/>
              <w:jc w:val="center"/>
              <w:rPr>
                <w:rFonts w:hint="eastAsia" w:ascii="宋体" w:hAnsi="宋体" w:cs="宋体"/>
                <w:sz w:val="21"/>
                <w:szCs w:val="21"/>
              </w:rPr>
            </w:pPr>
          </w:p>
        </w:tc>
        <w:tc>
          <w:tcPr>
            <w:tcW w:w="1018" w:type="dxa"/>
            <w:vAlign w:val="center"/>
          </w:tcPr>
          <w:p w14:paraId="6B0DBB48">
            <w:pPr>
              <w:spacing w:line="240" w:lineRule="auto"/>
              <w:jc w:val="center"/>
              <w:rPr>
                <w:rFonts w:hint="eastAsia" w:ascii="宋体" w:hAnsi="宋体" w:cs="宋体"/>
                <w:sz w:val="21"/>
                <w:szCs w:val="21"/>
              </w:rPr>
            </w:pPr>
            <w:r>
              <w:rPr>
                <w:rFonts w:hint="eastAsia" w:ascii="宋体" w:hAnsi="宋体" w:cs="宋体"/>
                <w:sz w:val="21"/>
                <w:szCs w:val="21"/>
              </w:rPr>
              <w:t>实施方案</w:t>
            </w:r>
          </w:p>
        </w:tc>
        <w:tc>
          <w:tcPr>
            <w:tcW w:w="810" w:type="dxa"/>
            <w:vAlign w:val="center"/>
          </w:tcPr>
          <w:p w14:paraId="54526989">
            <w:pPr>
              <w:spacing w:line="240" w:lineRule="auto"/>
              <w:jc w:val="center"/>
              <w:rPr>
                <w:rFonts w:hint="eastAsia" w:ascii="宋体" w:hAnsi="宋体" w:cs="宋体"/>
                <w:sz w:val="21"/>
                <w:szCs w:val="21"/>
              </w:rPr>
            </w:pPr>
            <w:r>
              <w:rPr>
                <w:rFonts w:hint="eastAsia" w:ascii="宋体" w:hAnsi="宋体" w:cs="宋体"/>
                <w:sz w:val="21"/>
                <w:szCs w:val="21"/>
              </w:rPr>
              <w:t>15分</w:t>
            </w:r>
          </w:p>
        </w:tc>
        <w:tc>
          <w:tcPr>
            <w:tcW w:w="6433" w:type="dxa"/>
          </w:tcPr>
          <w:p w14:paraId="07F15689">
            <w:pPr>
              <w:adjustRightInd w:val="0"/>
              <w:spacing w:line="240" w:lineRule="auto"/>
              <w:rPr>
                <w:rFonts w:hint="eastAsia" w:ascii="宋体" w:hAnsi="宋体" w:cs="宋体"/>
                <w:bCs/>
                <w:sz w:val="21"/>
                <w:szCs w:val="21"/>
                <w:lang w:val="zh-CN"/>
              </w:rPr>
            </w:pPr>
            <w:r>
              <w:rPr>
                <w:rFonts w:hint="eastAsia" w:ascii="宋体" w:hAnsi="宋体" w:cs="宋体"/>
                <w:bCs/>
                <w:sz w:val="21"/>
                <w:szCs w:val="21"/>
              </w:rPr>
              <w:t>供应商应针对本项目提供实施方案，所有检测符国家检验检测机构资质认定，各个检测项目检测方案及仪器设备，符合有关国家技术规范和相关标准，检测数据具有代表性、准确性、精密性、可比性和完整性。实施方案清晰、针对性强、科学合理、内容详尽完整、可操作性强的得 15分;施方案清晰、针对性较强、较科学合理、内容基本详尽完整、可操作性较强的得10分;实施方案有一定针对性和可操作性、较合理可行、内容较完整且有欠缺的得7分;实施方案针对性、可操作性不强、内容完整性差的得3分;未提供实施方案不得分。</w:t>
            </w:r>
          </w:p>
        </w:tc>
      </w:tr>
      <w:tr w14:paraId="7A5F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1137" w:type="dxa"/>
            <w:vMerge w:val="continue"/>
            <w:vAlign w:val="center"/>
          </w:tcPr>
          <w:p w14:paraId="319C1514">
            <w:pPr>
              <w:spacing w:line="240" w:lineRule="auto"/>
              <w:jc w:val="center"/>
              <w:rPr>
                <w:rFonts w:hint="eastAsia" w:ascii="宋体" w:hAnsi="宋体" w:cs="宋体"/>
                <w:sz w:val="21"/>
                <w:szCs w:val="21"/>
              </w:rPr>
            </w:pPr>
          </w:p>
        </w:tc>
        <w:tc>
          <w:tcPr>
            <w:tcW w:w="1018" w:type="dxa"/>
            <w:vAlign w:val="center"/>
          </w:tcPr>
          <w:p w14:paraId="3630091F">
            <w:pPr>
              <w:spacing w:line="240" w:lineRule="auto"/>
              <w:jc w:val="center"/>
              <w:rPr>
                <w:rFonts w:hint="eastAsia" w:ascii="宋体" w:hAnsi="宋体" w:cs="宋体"/>
                <w:sz w:val="21"/>
                <w:szCs w:val="21"/>
              </w:rPr>
            </w:pPr>
            <w:r>
              <w:rPr>
                <w:rFonts w:hint="eastAsia" w:ascii="宋体" w:hAnsi="宋体" w:cs="宋体"/>
                <w:sz w:val="21"/>
                <w:szCs w:val="21"/>
              </w:rPr>
              <w:t>应急预案</w:t>
            </w:r>
          </w:p>
        </w:tc>
        <w:tc>
          <w:tcPr>
            <w:tcW w:w="810" w:type="dxa"/>
            <w:vAlign w:val="center"/>
          </w:tcPr>
          <w:p w14:paraId="5B2671D1">
            <w:pPr>
              <w:spacing w:line="240" w:lineRule="auto"/>
              <w:jc w:val="center"/>
              <w:rPr>
                <w:rFonts w:hint="eastAsia" w:ascii="宋体" w:hAnsi="宋体" w:cs="宋体"/>
                <w:sz w:val="21"/>
                <w:szCs w:val="21"/>
              </w:rPr>
            </w:pPr>
            <w:r>
              <w:rPr>
                <w:rFonts w:hint="eastAsia" w:ascii="宋体" w:hAnsi="宋体" w:cs="宋体"/>
                <w:sz w:val="21"/>
                <w:szCs w:val="21"/>
              </w:rPr>
              <w:t>8分</w:t>
            </w:r>
          </w:p>
        </w:tc>
        <w:tc>
          <w:tcPr>
            <w:tcW w:w="6433" w:type="dxa"/>
          </w:tcPr>
          <w:p w14:paraId="29708203">
            <w:pPr>
              <w:adjustRightInd w:val="0"/>
              <w:spacing w:line="240" w:lineRule="auto"/>
              <w:rPr>
                <w:rFonts w:hint="eastAsia" w:ascii="宋体" w:hAnsi="宋体" w:cs="宋体"/>
                <w:bCs/>
                <w:sz w:val="21"/>
                <w:szCs w:val="21"/>
                <w:lang w:val="zh-CN"/>
              </w:rPr>
            </w:pPr>
            <w:r>
              <w:rPr>
                <w:rFonts w:hint="eastAsia" w:ascii="宋体" w:hAnsi="宋体" w:cs="宋体"/>
                <w:bCs/>
                <w:sz w:val="21"/>
                <w:szCs w:val="21"/>
              </w:rPr>
              <w:t>供应商</w:t>
            </w:r>
            <w:r>
              <w:rPr>
                <w:rFonts w:hint="eastAsia" w:ascii="宋体" w:hAnsi="宋体" w:cs="宋体"/>
                <w:bCs/>
                <w:sz w:val="21"/>
                <w:szCs w:val="21"/>
                <w:lang w:val="zh-CN"/>
              </w:rPr>
              <w:t>根据本项目实际情况，编制应急预案，应急预案内容包括但不限于</w:t>
            </w:r>
            <w:r>
              <w:rPr>
                <w:rFonts w:hint="eastAsia" w:ascii="宋体" w:hAnsi="宋体" w:cs="宋体"/>
                <w:bCs/>
                <w:sz w:val="21"/>
                <w:szCs w:val="21"/>
              </w:rPr>
              <w:t>应急响应时间、应急响应方案、应急保障</w:t>
            </w:r>
            <w:r>
              <w:rPr>
                <w:rFonts w:hint="eastAsia" w:ascii="宋体" w:hAnsi="宋体" w:cs="宋体"/>
                <w:bCs/>
                <w:sz w:val="21"/>
                <w:szCs w:val="21"/>
                <w:lang w:val="zh-CN"/>
              </w:rPr>
              <w:t>措施等。 根据以上内容提供的突发应急预案覆盖全面、</w:t>
            </w:r>
            <w:r>
              <w:rPr>
                <w:rFonts w:hint="eastAsia" w:ascii="宋体" w:hAnsi="宋体" w:cs="宋体"/>
                <w:bCs/>
                <w:sz w:val="21"/>
                <w:szCs w:val="21"/>
              </w:rPr>
              <w:t>方案清晰、应急保障</w:t>
            </w:r>
            <w:r>
              <w:rPr>
                <w:rFonts w:hint="eastAsia" w:ascii="宋体" w:hAnsi="宋体" w:cs="宋体"/>
                <w:bCs/>
                <w:sz w:val="21"/>
                <w:szCs w:val="21"/>
                <w:lang w:val="zh-CN"/>
              </w:rPr>
              <w:t>措施科学合理、应急处理得当，可操作性强的得</w:t>
            </w:r>
            <w:r>
              <w:rPr>
                <w:rFonts w:hint="eastAsia" w:ascii="宋体" w:hAnsi="宋体" w:cs="宋体"/>
                <w:bCs/>
                <w:sz w:val="21"/>
                <w:szCs w:val="21"/>
              </w:rPr>
              <w:t>8</w:t>
            </w:r>
            <w:r>
              <w:rPr>
                <w:rFonts w:hint="eastAsia" w:ascii="宋体" w:hAnsi="宋体" w:cs="宋体"/>
                <w:bCs/>
                <w:sz w:val="21"/>
                <w:szCs w:val="21"/>
                <w:lang w:val="zh-CN"/>
              </w:rPr>
              <w:t>分；预案覆盖</w:t>
            </w:r>
            <w:r>
              <w:rPr>
                <w:rFonts w:hint="eastAsia" w:ascii="宋体" w:hAnsi="宋体" w:cs="宋体"/>
                <w:bCs/>
                <w:sz w:val="21"/>
                <w:szCs w:val="21"/>
              </w:rPr>
              <w:t>基本</w:t>
            </w:r>
            <w:r>
              <w:rPr>
                <w:rFonts w:hint="eastAsia" w:ascii="宋体" w:hAnsi="宋体" w:cs="宋体"/>
                <w:bCs/>
                <w:sz w:val="21"/>
                <w:szCs w:val="21"/>
                <w:lang w:val="zh-CN"/>
              </w:rPr>
              <w:t>全面、</w:t>
            </w:r>
            <w:r>
              <w:rPr>
                <w:rFonts w:hint="eastAsia" w:ascii="宋体" w:hAnsi="宋体" w:cs="宋体"/>
                <w:bCs/>
                <w:sz w:val="21"/>
                <w:szCs w:val="21"/>
              </w:rPr>
              <w:t>方案较清晰、应急保障</w:t>
            </w:r>
            <w:r>
              <w:rPr>
                <w:rFonts w:hint="eastAsia" w:ascii="宋体" w:hAnsi="宋体" w:cs="宋体"/>
                <w:bCs/>
                <w:sz w:val="21"/>
                <w:szCs w:val="21"/>
                <w:lang w:val="zh-CN"/>
              </w:rPr>
              <w:t>措施科学合理、应急处理</w:t>
            </w:r>
            <w:r>
              <w:rPr>
                <w:rFonts w:hint="eastAsia" w:ascii="宋体" w:hAnsi="宋体" w:cs="宋体"/>
                <w:bCs/>
                <w:sz w:val="21"/>
                <w:szCs w:val="21"/>
              </w:rPr>
              <w:t>基本</w:t>
            </w:r>
            <w:r>
              <w:rPr>
                <w:rFonts w:hint="eastAsia" w:ascii="宋体" w:hAnsi="宋体" w:cs="宋体"/>
                <w:bCs/>
                <w:sz w:val="21"/>
                <w:szCs w:val="21"/>
                <w:lang w:val="zh-CN"/>
              </w:rPr>
              <w:t>得当，可操作性</w:t>
            </w:r>
            <w:r>
              <w:rPr>
                <w:rFonts w:hint="eastAsia" w:ascii="宋体" w:hAnsi="宋体" w:cs="宋体"/>
                <w:bCs/>
                <w:sz w:val="21"/>
                <w:szCs w:val="21"/>
              </w:rPr>
              <w:t>较</w:t>
            </w:r>
            <w:r>
              <w:rPr>
                <w:rFonts w:hint="eastAsia" w:ascii="宋体" w:hAnsi="宋体" w:cs="宋体"/>
                <w:bCs/>
                <w:sz w:val="21"/>
                <w:szCs w:val="21"/>
                <w:lang w:val="zh-CN"/>
              </w:rPr>
              <w:t>强的得</w:t>
            </w:r>
            <w:r>
              <w:rPr>
                <w:rFonts w:hint="eastAsia" w:ascii="宋体" w:hAnsi="宋体" w:cs="宋体"/>
                <w:bCs/>
                <w:sz w:val="21"/>
                <w:szCs w:val="21"/>
              </w:rPr>
              <w:t>5</w:t>
            </w:r>
            <w:r>
              <w:rPr>
                <w:rFonts w:hint="eastAsia" w:ascii="宋体" w:hAnsi="宋体" w:cs="宋体"/>
                <w:bCs/>
                <w:sz w:val="21"/>
                <w:szCs w:val="21"/>
                <w:lang w:val="zh-CN"/>
              </w:rPr>
              <w:t>分；应急预案覆盖</w:t>
            </w:r>
            <w:r>
              <w:rPr>
                <w:rFonts w:hint="eastAsia" w:ascii="宋体" w:hAnsi="宋体" w:cs="宋体"/>
                <w:bCs/>
                <w:sz w:val="21"/>
                <w:szCs w:val="21"/>
              </w:rPr>
              <w:t>较</w:t>
            </w:r>
            <w:r>
              <w:rPr>
                <w:rFonts w:hint="eastAsia" w:ascii="宋体" w:hAnsi="宋体" w:cs="宋体"/>
                <w:bCs/>
                <w:sz w:val="21"/>
                <w:szCs w:val="21"/>
                <w:lang w:val="zh-CN"/>
              </w:rPr>
              <w:t>全面</w:t>
            </w:r>
            <w:r>
              <w:rPr>
                <w:rFonts w:hint="eastAsia" w:ascii="宋体" w:hAnsi="宋体" w:cs="宋体"/>
                <w:bCs/>
                <w:sz w:val="21"/>
                <w:szCs w:val="21"/>
              </w:rPr>
              <w:t>且有欠缺</w:t>
            </w:r>
            <w:r>
              <w:rPr>
                <w:rFonts w:hint="eastAsia" w:ascii="宋体" w:hAnsi="宋体" w:cs="宋体"/>
                <w:bCs/>
                <w:sz w:val="21"/>
                <w:szCs w:val="21"/>
                <w:lang w:val="zh-CN"/>
              </w:rPr>
              <w:t>、可操作性一般的得3分，应急预案</w:t>
            </w:r>
            <w:r>
              <w:rPr>
                <w:rFonts w:hint="eastAsia" w:ascii="宋体" w:hAnsi="宋体" w:cs="宋体"/>
                <w:bCs/>
                <w:sz w:val="21"/>
                <w:szCs w:val="21"/>
              </w:rPr>
              <w:t>有欠缺</w:t>
            </w:r>
            <w:r>
              <w:rPr>
                <w:rFonts w:hint="eastAsia" w:ascii="宋体" w:hAnsi="宋体" w:cs="宋体"/>
                <w:bCs/>
                <w:sz w:val="21"/>
                <w:szCs w:val="21"/>
                <w:lang w:val="zh-CN"/>
              </w:rPr>
              <w:t>、操作性</w:t>
            </w:r>
            <w:r>
              <w:rPr>
                <w:rFonts w:hint="eastAsia" w:ascii="宋体" w:hAnsi="宋体" w:cs="宋体"/>
                <w:bCs/>
                <w:sz w:val="21"/>
                <w:szCs w:val="21"/>
              </w:rPr>
              <w:t>差</w:t>
            </w:r>
            <w:r>
              <w:rPr>
                <w:rFonts w:hint="eastAsia" w:ascii="宋体" w:hAnsi="宋体" w:cs="宋体"/>
                <w:bCs/>
                <w:sz w:val="21"/>
                <w:szCs w:val="21"/>
                <w:lang w:val="zh-CN"/>
              </w:rPr>
              <w:t>的得</w:t>
            </w:r>
            <w:r>
              <w:rPr>
                <w:rFonts w:hint="eastAsia" w:ascii="宋体" w:hAnsi="宋体" w:cs="宋体"/>
                <w:bCs/>
                <w:sz w:val="21"/>
                <w:szCs w:val="21"/>
              </w:rPr>
              <w:t>1</w:t>
            </w:r>
            <w:r>
              <w:rPr>
                <w:rFonts w:hint="eastAsia" w:ascii="宋体" w:hAnsi="宋体" w:cs="宋体"/>
                <w:bCs/>
                <w:sz w:val="21"/>
                <w:szCs w:val="21"/>
                <w:lang w:val="zh-CN"/>
              </w:rPr>
              <w:t>分。未提供的不得分。</w:t>
            </w:r>
          </w:p>
        </w:tc>
      </w:tr>
      <w:tr w14:paraId="0A1B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7" w:hRule="atLeast"/>
          <w:jc w:val="center"/>
        </w:trPr>
        <w:tc>
          <w:tcPr>
            <w:tcW w:w="1137" w:type="dxa"/>
            <w:vMerge w:val="continue"/>
            <w:vAlign w:val="center"/>
          </w:tcPr>
          <w:p w14:paraId="07E527EB">
            <w:pPr>
              <w:spacing w:line="240" w:lineRule="auto"/>
              <w:jc w:val="center"/>
              <w:rPr>
                <w:rFonts w:hint="eastAsia" w:ascii="宋体" w:hAnsi="宋体" w:cs="宋体"/>
                <w:sz w:val="21"/>
                <w:szCs w:val="21"/>
              </w:rPr>
            </w:pPr>
          </w:p>
        </w:tc>
        <w:tc>
          <w:tcPr>
            <w:tcW w:w="1018" w:type="dxa"/>
            <w:vAlign w:val="center"/>
          </w:tcPr>
          <w:p w14:paraId="54CF9D20">
            <w:pPr>
              <w:spacing w:line="240" w:lineRule="auto"/>
              <w:jc w:val="center"/>
              <w:textAlignment w:val="baseline"/>
              <w:rPr>
                <w:rFonts w:hint="eastAsia" w:ascii="宋体" w:hAnsi="宋体" w:cs="宋体"/>
                <w:bCs/>
                <w:sz w:val="21"/>
                <w:szCs w:val="21"/>
                <w:lang w:val="zh-CN" w:bidi="zh-CN"/>
              </w:rPr>
            </w:pPr>
            <w:r>
              <w:rPr>
                <w:rFonts w:hint="eastAsia" w:ascii="宋体" w:hAnsi="宋体" w:cs="宋体"/>
                <w:bCs/>
                <w:sz w:val="21"/>
                <w:szCs w:val="21"/>
                <w:lang w:val="zh-CN" w:bidi="zh-CN"/>
              </w:rPr>
              <w:t>检测服务机构</w:t>
            </w:r>
          </w:p>
        </w:tc>
        <w:tc>
          <w:tcPr>
            <w:tcW w:w="810" w:type="dxa"/>
            <w:vAlign w:val="center"/>
          </w:tcPr>
          <w:p w14:paraId="0DCBE1AD">
            <w:pPr>
              <w:spacing w:line="240" w:lineRule="auto"/>
              <w:jc w:val="center"/>
              <w:textAlignment w:val="baseline"/>
              <w:rPr>
                <w:rFonts w:hint="eastAsia" w:ascii="宋体" w:hAnsi="宋体" w:cs="宋体"/>
                <w:bCs/>
                <w:sz w:val="21"/>
                <w:szCs w:val="21"/>
                <w:lang w:bidi="zh-CN"/>
              </w:rPr>
            </w:pPr>
            <w:r>
              <w:rPr>
                <w:rFonts w:hint="eastAsia" w:ascii="宋体" w:hAnsi="宋体" w:cs="宋体"/>
                <w:bCs/>
                <w:sz w:val="21"/>
                <w:szCs w:val="21"/>
              </w:rPr>
              <w:t>10分</w:t>
            </w:r>
          </w:p>
        </w:tc>
        <w:tc>
          <w:tcPr>
            <w:tcW w:w="6433" w:type="dxa"/>
          </w:tcPr>
          <w:p w14:paraId="72CE5D14">
            <w:pPr>
              <w:adjustRightInd w:val="0"/>
              <w:spacing w:line="240" w:lineRule="auto"/>
              <w:rPr>
                <w:rFonts w:hint="eastAsia" w:ascii="宋体" w:hAnsi="宋体" w:cs="宋体"/>
                <w:bCs/>
                <w:sz w:val="21"/>
                <w:szCs w:val="21"/>
                <w:lang w:val="zh-CN" w:bidi="zh-CN"/>
              </w:rPr>
            </w:pPr>
            <w:r>
              <w:rPr>
                <w:rFonts w:hint="eastAsia" w:ascii="宋体" w:hAnsi="宋体" w:cs="宋体"/>
                <w:bCs/>
                <w:sz w:val="21"/>
                <w:szCs w:val="21"/>
              </w:rPr>
              <w:t xml:space="preserve">供应商提供售后服务方案及承诺（包括售后服务承诺、质量保证投标人应为本项目设立专门检测服务团队，并提供运作流程、人员管理、设备调配计划等。 ①检测服务机构设立清晰完整，运作流程明确，管理计划符合项目实施要求，且具备合理的人员和设备调配，对责任分工明确得10分;②检测服务机构设立完整，运作流程基本明确，管理计划基本符合项目实施要求，且具有基本合理可行人员和设备调配、责任分工，得7分;③检测服务机构设立简单，运作流程杂乱，管理计划无法符合项目实施要求的得3分;④其他情况或不提供得0分。 </w:t>
            </w:r>
          </w:p>
        </w:tc>
      </w:tr>
      <w:tr w14:paraId="1844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2155" w:type="dxa"/>
            <w:gridSpan w:val="2"/>
            <w:vAlign w:val="center"/>
          </w:tcPr>
          <w:p w14:paraId="22B1F7C6">
            <w:pPr>
              <w:spacing w:line="240" w:lineRule="auto"/>
              <w:jc w:val="center"/>
              <w:textAlignment w:val="baseline"/>
              <w:rPr>
                <w:rFonts w:hint="eastAsia" w:ascii="宋体" w:hAnsi="宋体" w:cs="宋体"/>
                <w:bCs/>
                <w:sz w:val="21"/>
                <w:szCs w:val="21"/>
              </w:rPr>
            </w:pPr>
            <w:r>
              <w:rPr>
                <w:rFonts w:hint="eastAsia" w:ascii="宋体" w:hAnsi="宋体" w:cs="宋体"/>
                <w:bCs/>
                <w:sz w:val="21"/>
                <w:szCs w:val="21"/>
              </w:rPr>
              <w:t>合计</w:t>
            </w:r>
          </w:p>
        </w:tc>
        <w:tc>
          <w:tcPr>
            <w:tcW w:w="810" w:type="dxa"/>
            <w:vAlign w:val="center"/>
          </w:tcPr>
          <w:p w14:paraId="11DA9371">
            <w:pPr>
              <w:tabs>
                <w:tab w:val="left" w:pos="354"/>
              </w:tabs>
              <w:spacing w:line="240" w:lineRule="auto"/>
              <w:jc w:val="center"/>
              <w:textAlignment w:val="baseline"/>
              <w:rPr>
                <w:rFonts w:hint="eastAsia" w:ascii="宋体" w:hAnsi="宋体" w:cs="宋体"/>
                <w:bCs/>
                <w:sz w:val="21"/>
                <w:szCs w:val="21"/>
              </w:rPr>
            </w:pPr>
            <w:r>
              <w:rPr>
                <w:rFonts w:hint="eastAsia" w:ascii="宋体" w:hAnsi="宋体" w:cs="宋体"/>
                <w:bCs/>
                <w:sz w:val="21"/>
                <w:szCs w:val="21"/>
              </w:rPr>
              <w:t>100分</w:t>
            </w:r>
          </w:p>
        </w:tc>
        <w:tc>
          <w:tcPr>
            <w:tcW w:w="6433" w:type="dxa"/>
          </w:tcPr>
          <w:p w14:paraId="45B352F1">
            <w:pPr>
              <w:adjustRightInd w:val="0"/>
              <w:spacing w:line="240" w:lineRule="auto"/>
              <w:rPr>
                <w:rFonts w:hint="eastAsia" w:ascii="宋体" w:hAnsi="宋体" w:cs="宋体"/>
                <w:bCs/>
                <w:sz w:val="21"/>
                <w:szCs w:val="21"/>
              </w:rPr>
            </w:pPr>
          </w:p>
        </w:tc>
      </w:tr>
      <w:bookmarkEnd w:id="0"/>
      <w:bookmarkEnd w:id="1"/>
    </w:tbl>
    <w:p w14:paraId="4FB890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B3D95"/>
    <w:rsid w:val="30E96B45"/>
    <w:rsid w:val="351A7FB5"/>
    <w:rsid w:val="37BA3FE5"/>
    <w:rsid w:val="481A2D7B"/>
    <w:rsid w:val="4F49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300" w:lineRule="auto"/>
    </w:pPr>
    <w:rPr>
      <w:rFonts w:ascii="宋体" w:hAnsi="宋体"/>
      <w:spacing w:val="4"/>
      <w:sz w:val="24"/>
      <w:lang w:eastAsia="en-US"/>
    </w:rPr>
  </w:style>
  <w:style w:type="paragraph" w:styleId="5">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1692</Words>
  <Characters>1717</Characters>
  <Lines>0</Lines>
  <Paragraphs>0</Paragraphs>
  <TotalTime>5</TotalTime>
  <ScaleCrop>false</ScaleCrop>
  <LinksUpToDate>false</LinksUpToDate>
  <CharactersWithSpaces>1740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2022-08-17T08:07:00Z</dcterms:created>
  <dc:creator>Administrator</dc:creator>
  <cp:lastModifiedBy>陈皎</cp:lastModifiedBy>
  <dcterms:modified xsi:type="dcterms:W3CDTF">2025-02-17T00:23:30Z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F56F97E3C314436A8015930EC693E6D6</vt:lpwstr>
  </property>
  <property fmtid="{D5CDD505-2E9C-101B-9397-08002B2CF9AE}" pid="4" name="KSOTemplateDocerSaveRecord">
    <vt:lpwstr>eyJoZGlkIjoiODU4ZWQ0NTMwNDJhZjMyNzIzMzU0MjQxMWZjNzRmNmIiLCJ1c2VySWQiOiI2NTk4OTM3NDQifQ==</vt:lpwstr>
  </property>
</Properties>
</file>