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rFonts w:hint="eastAsia" w:ascii="宋体" w:hAnsi="宋体" w:eastAsia="宋体" w:cs="宋体"/>
          <w:b w:val="0"/>
          <w:bCs w:val="0"/>
          <w:kern w:val="0"/>
          <w:sz w:val="32"/>
          <w:szCs w:val="32"/>
          <w:lang w:val="en-US" w:eastAsia="zh-CN" w:bidi="ar"/>
        </w:rPr>
      </w:pPr>
      <w:r>
        <w:rPr>
          <w:rFonts w:hint="eastAsia" w:ascii="宋体" w:hAnsi="宋体" w:eastAsia="宋体" w:cs="宋体"/>
          <w:b w:val="0"/>
          <w:bCs w:val="0"/>
          <w:kern w:val="0"/>
          <w:sz w:val="32"/>
          <w:szCs w:val="32"/>
          <w:lang w:val="en-US" w:eastAsia="zh-CN" w:bidi="ar"/>
        </w:rPr>
        <w:t>甘肃省中医药研究院古籍函套服务项目</w:t>
      </w:r>
    </w:p>
    <w:p>
      <w:pPr>
        <w:keepNext w:val="0"/>
        <w:keepLines w:val="0"/>
        <w:widowControl/>
        <w:suppressLineNumbers w:val="0"/>
        <w:jc w:val="center"/>
        <w:rPr>
          <w:rFonts w:hint="eastAsia" w:ascii="宋体" w:hAnsi="宋体" w:eastAsia="宋体" w:cs="宋体"/>
          <w:b w:val="0"/>
          <w:bCs w:val="0"/>
          <w:kern w:val="0"/>
          <w:sz w:val="32"/>
          <w:szCs w:val="32"/>
          <w:lang w:val="en-US" w:eastAsia="zh-CN" w:bidi="ar"/>
        </w:rPr>
      </w:pPr>
      <w:r>
        <w:rPr>
          <w:rFonts w:hint="eastAsia" w:ascii="宋体" w:hAnsi="宋体" w:eastAsia="宋体" w:cs="宋体"/>
          <w:b w:val="0"/>
          <w:bCs w:val="0"/>
          <w:kern w:val="0"/>
          <w:sz w:val="32"/>
          <w:szCs w:val="32"/>
          <w:lang w:val="en-US" w:eastAsia="zh-CN" w:bidi="ar"/>
        </w:rPr>
        <w:t>招标参数及评分标准</w:t>
      </w:r>
    </w:p>
    <w:p>
      <w:pPr>
        <w:keepNext w:val="0"/>
        <w:keepLines w:val="0"/>
        <w:widowControl/>
        <w:suppressLineNumbers w:val="0"/>
        <w:jc w:val="center"/>
        <w:rPr>
          <w:rFonts w:hint="eastAsia" w:ascii="宋体" w:hAnsi="宋体" w:eastAsia="宋体" w:cs="宋体"/>
          <w:b w:val="0"/>
          <w:bCs w:val="0"/>
          <w:kern w:val="0"/>
          <w:sz w:val="32"/>
          <w:szCs w:val="32"/>
          <w:lang w:val="en-US" w:eastAsia="zh-CN" w:bidi="ar"/>
        </w:rPr>
      </w:pPr>
    </w:p>
    <w:p>
      <w:pPr>
        <w:keepNext w:val="0"/>
        <w:keepLines w:val="0"/>
        <w:pageBreakBefore w:val="0"/>
        <w:kinsoku/>
        <w:wordWrap/>
        <w:overflowPunct/>
        <w:topLinePunct w:val="0"/>
        <w:autoSpaceDE/>
        <w:autoSpaceDN/>
        <w:bidi w:val="0"/>
        <w:adjustRightInd/>
        <w:snapToGrid/>
        <w:spacing w:beforeAutospacing="0" w:afterAutospacing="0" w:line="480" w:lineRule="auto"/>
        <w:ind w:firstLine="560" w:firstLineChars="200"/>
        <w:jc w:val="both"/>
        <w:textAlignment w:val="auto"/>
        <w:outlineLvl w:val="9"/>
        <w:rPr>
          <w:rFonts w:hint="eastAsia" w:ascii="宋体" w:hAnsi="宋体" w:eastAsia="宋体" w:cs="宋体"/>
          <w:b w:val="0"/>
          <w:bCs w:val="0"/>
          <w:sz w:val="28"/>
          <w:szCs w:val="28"/>
        </w:rPr>
      </w:pPr>
      <w:r>
        <w:rPr>
          <w:rFonts w:hint="eastAsia" w:ascii="宋体" w:hAnsi="宋体" w:eastAsia="宋体" w:cs="宋体"/>
          <w:b w:val="0"/>
          <w:bCs w:val="0"/>
          <w:sz w:val="28"/>
          <w:szCs w:val="28"/>
          <w:lang w:val="en-US" w:eastAsia="zh-CN"/>
        </w:rPr>
        <w:t>一</w:t>
      </w:r>
      <w:r>
        <w:rPr>
          <w:rFonts w:hint="eastAsia" w:ascii="宋体" w:hAnsi="宋体" w:eastAsia="宋体" w:cs="宋体"/>
          <w:b w:val="0"/>
          <w:bCs w:val="0"/>
          <w:sz w:val="28"/>
          <w:szCs w:val="28"/>
        </w:rPr>
        <w:t>、技术工艺与材质标准（核心硬性要求）</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560" w:firstLineChars="200"/>
        <w:jc w:val="both"/>
        <w:textAlignment w:val="auto"/>
        <w:outlineLvl w:val="9"/>
        <w:rPr>
          <w:rFonts w:hint="eastAsia" w:ascii="宋体" w:hAnsi="宋体" w:eastAsia="宋体" w:cs="宋体"/>
          <w:b w:val="0"/>
          <w:bCs w:val="0"/>
          <w:sz w:val="28"/>
          <w:szCs w:val="28"/>
        </w:rPr>
      </w:pPr>
      <w:r>
        <w:rPr>
          <w:rFonts w:hint="eastAsia" w:ascii="宋体" w:hAnsi="宋体" w:eastAsia="宋体" w:cs="宋体"/>
          <w:b w:val="0"/>
          <w:bCs w:val="0"/>
          <w:kern w:val="0"/>
          <w:sz w:val="28"/>
          <w:szCs w:val="28"/>
          <w:lang w:val="en-US" w:eastAsia="zh-CN" w:bidi="ar"/>
        </w:rPr>
        <w:t>所有函套成品、原材料必须符合国家古籍保护安全标准，无酸、无甲醛、无有害物质，适配古籍长期保存，具体标准如下：</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560" w:firstLineChars="200"/>
        <w:jc w:val="both"/>
        <w:textAlignment w:val="auto"/>
        <w:outlineLvl w:val="9"/>
        <w:rPr>
          <w:rFonts w:hint="eastAsia" w:ascii="宋体" w:hAnsi="宋体" w:eastAsia="宋体" w:cs="宋体"/>
          <w:b w:val="0"/>
          <w:bCs w:val="0"/>
          <w:sz w:val="28"/>
          <w:szCs w:val="28"/>
        </w:rPr>
      </w:pPr>
      <w:r>
        <w:rPr>
          <w:rFonts w:hint="eastAsia" w:ascii="宋体" w:hAnsi="宋体" w:eastAsia="宋体" w:cs="宋体"/>
          <w:b w:val="0"/>
          <w:bCs w:val="0"/>
          <w:sz w:val="28"/>
          <w:szCs w:val="28"/>
        </w:rPr>
        <w:t>（一）核心材质指标</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560" w:firstLineChars="200"/>
        <w:jc w:val="both"/>
        <w:textAlignment w:val="auto"/>
        <w:outlineLvl w:val="9"/>
        <w:rPr>
          <w:rFonts w:hint="eastAsia" w:ascii="宋体" w:hAnsi="宋体" w:eastAsia="宋体" w:cs="宋体"/>
          <w:b w:val="0"/>
          <w:bCs w:val="0"/>
          <w:kern w:val="0"/>
          <w:sz w:val="28"/>
          <w:szCs w:val="28"/>
          <w:lang w:val="en-US" w:eastAsia="zh-CN" w:bidi="ar"/>
        </w:rPr>
      </w:pPr>
      <w:r>
        <w:rPr>
          <w:rFonts w:hint="eastAsia" w:ascii="宋体" w:hAnsi="宋体" w:eastAsia="宋体" w:cs="宋体"/>
          <w:b w:val="0"/>
          <w:bCs w:val="0"/>
          <w:kern w:val="0"/>
          <w:sz w:val="28"/>
          <w:szCs w:val="28"/>
          <w:lang w:val="en-US" w:eastAsia="zh-CN" w:bidi="ar"/>
        </w:rPr>
        <w:t>※1、面料材质：普通古籍函套采用优质纯棉蓝布，棉含量 100%。善本古籍函套采用宋锦面料，组织结构细腻，面料印染工艺合规。甲醛、偶氮等致癌有害物质含量完全符合GB18401-2010 要求，级别B类，PH值≥7.5，耐光色牢度≥3 级，无色差、无脱丝、无起球、无异味。</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560" w:firstLineChars="200"/>
        <w:jc w:val="both"/>
        <w:textAlignment w:val="auto"/>
        <w:outlineLvl w:val="9"/>
        <w:rPr>
          <w:rFonts w:hint="eastAsia" w:ascii="宋体" w:hAnsi="宋体" w:eastAsia="宋体" w:cs="宋体"/>
          <w:b w:val="0"/>
          <w:bCs w:val="0"/>
          <w:sz w:val="28"/>
          <w:szCs w:val="28"/>
        </w:rPr>
      </w:pPr>
      <w:r>
        <w:rPr>
          <w:rFonts w:hint="eastAsia" w:ascii="宋体" w:hAnsi="宋体" w:eastAsia="宋体" w:cs="宋体"/>
          <w:b w:val="0"/>
          <w:bCs w:val="0"/>
          <w:kern w:val="0"/>
          <w:sz w:val="28"/>
          <w:szCs w:val="28"/>
          <w:lang w:val="en-US" w:eastAsia="zh-CN" w:bidi="ar"/>
        </w:rPr>
        <w:t>※2、无酸纸板：函套内芯采用专业古籍保护无酸纸板，PH值≥7.5，无硫、无氯、无腐蚀性成分，耐老化、不变形、不返潮，适配恒温恒湿馆藏环境，长期使用不损伤古籍纸张。</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560" w:firstLineChars="200"/>
        <w:jc w:val="both"/>
        <w:textAlignment w:val="auto"/>
        <w:outlineLvl w:val="9"/>
        <w:rPr>
          <w:rFonts w:hint="eastAsia" w:ascii="宋体" w:hAnsi="宋体" w:eastAsia="宋体" w:cs="宋体"/>
          <w:b w:val="0"/>
          <w:bCs w:val="0"/>
          <w:kern w:val="0"/>
          <w:sz w:val="28"/>
          <w:szCs w:val="28"/>
          <w:lang w:val="en-US" w:eastAsia="zh-CN" w:bidi="ar"/>
        </w:rPr>
      </w:pPr>
      <w:r>
        <w:rPr>
          <w:rFonts w:hint="eastAsia" w:ascii="宋体" w:hAnsi="宋体" w:eastAsia="宋体" w:cs="宋体"/>
          <w:b w:val="0"/>
          <w:bCs w:val="0"/>
          <w:kern w:val="0"/>
          <w:sz w:val="28"/>
          <w:szCs w:val="28"/>
          <w:lang w:val="en-US" w:eastAsia="zh-CN" w:bidi="ar"/>
        </w:rPr>
        <w:t>※3、粘接辅料：采用天然小麦淀粉（无面筋面粉）或者古籍专用无酸环保胶水，粘性牢固、无挥发、无腐蚀性，长期使用不脱胶、不发黄、不污染古籍。</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560" w:firstLineChars="200"/>
        <w:jc w:val="both"/>
        <w:textAlignment w:val="auto"/>
        <w:outlineLvl w:val="9"/>
        <w:rPr>
          <w:rFonts w:hint="eastAsia" w:ascii="宋体" w:hAnsi="宋体" w:eastAsia="宋体" w:cs="宋体"/>
          <w:b w:val="0"/>
          <w:bCs w:val="0"/>
          <w:kern w:val="0"/>
          <w:sz w:val="28"/>
          <w:szCs w:val="28"/>
          <w:lang w:val="en-US" w:eastAsia="zh-CN" w:bidi="ar"/>
        </w:rPr>
      </w:pPr>
      <w:r>
        <w:rPr>
          <w:rFonts w:hint="eastAsia" w:ascii="宋体" w:hAnsi="宋体" w:eastAsia="宋体" w:cs="宋体"/>
          <w:b w:val="0"/>
          <w:bCs w:val="0"/>
          <w:kern w:val="0"/>
          <w:sz w:val="28"/>
          <w:szCs w:val="28"/>
          <w:lang w:val="en-US" w:eastAsia="zh-CN" w:bidi="ar"/>
        </w:rPr>
        <w:t xml:space="preserve">4、内贴纸：纯天然原料，手工制作，生宣（双宣也称二层宣）。PH 值≥7.5。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560" w:firstLineChars="200"/>
        <w:jc w:val="both"/>
        <w:textAlignment w:val="auto"/>
        <w:outlineLvl w:val="9"/>
        <w:rPr>
          <w:rFonts w:hint="eastAsia" w:ascii="宋体" w:hAnsi="宋体" w:eastAsia="宋体" w:cs="宋体"/>
          <w:b w:val="0"/>
          <w:bCs w:val="0"/>
          <w:sz w:val="28"/>
          <w:szCs w:val="28"/>
        </w:rPr>
      </w:pPr>
      <w:r>
        <w:rPr>
          <w:rFonts w:hint="eastAsia" w:ascii="宋体" w:hAnsi="宋体" w:eastAsia="宋体" w:cs="宋体"/>
          <w:b w:val="0"/>
          <w:bCs w:val="0"/>
          <w:kern w:val="0"/>
          <w:sz w:val="28"/>
          <w:szCs w:val="28"/>
          <w:lang w:val="en-US" w:eastAsia="zh-CN" w:bidi="ar"/>
        </w:rPr>
        <w:t xml:space="preserve">5、骨别针及袢口：牛骨制作，顶部尖薄，根部粗，光滑无毛刺，袢扣颜色与函套面料颜色一致，带长尺寸适中，松紧合适。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560" w:firstLineChars="200"/>
        <w:jc w:val="both"/>
        <w:textAlignment w:val="auto"/>
        <w:outlineLvl w:val="9"/>
        <w:rPr>
          <w:rFonts w:hint="eastAsia" w:ascii="宋体" w:hAnsi="宋体" w:eastAsia="宋体" w:cs="宋体"/>
          <w:b w:val="0"/>
          <w:bCs w:val="0"/>
          <w:kern w:val="0"/>
          <w:sz w:val="28"/>
          <w:szCs w:val="28"/>
          <w:lang w:val="en-US" w:eastAsia="zh-CN" w:bidi="ar"/>
        </w:rPr>
      </w:pPr>
      <w:r>
        <w:rPr>
          <w:rFonts w:hint="eastAsia" w:ascii="宋体" w:hAnsi="宋体" w:eastAsia="宋体" w:cs="宋体"/>
          <w:b w:val="0"/>
          <w:bCs w:val="0"/>
          <w:kern w:val="0"/>
          <w:sz w:val="28"/>
          <w:szCs w:val="28"/>
          <w:lang w:val="en-US" w:eastAsia="zh-CN" w:bidi="ar"/>
        </w:rPr>
        <w:t>6、题签工艺：采用专用宣纸题签，字体样式、排版由采购人指定，支持定制题名、卷次信息，采用环保印刷工艺，字迹清晰、不褪色、不晕染，题签粘贴平整牢固。</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560" w:firstLineChars="200"/>
        <w:jc w:val="both"/>
        <w:textAlignment w:val="auto"/>
        <w:outlineLvl w:val="9"/>
        <w:rPr>
          <w:rFonts w:hint="eastAsia" w:ascii="宋体" w:hAnsi="宋体" w:eastAsia="宋体" w:cs="宋体"/>
          <w:b w:val="0"/>
          <w:bCs w:val="0"/>
          <w:kern w:val="0"/>
          <w:sz w:val="28"/>
          <w:szCs w:val="28"/>
          <w:lang w:val="en-US" w:eastAsia="zh-CN" w:bidi="ar"/>
        </w:rPr>
      </w:pPr>
      <w:r>
        <w:rPr>
          <w:rFonts w:hint="eastAsia" w:ascii="宋体" w:hAnsi="宋体" w:eastAsia="宋体" w:cs="宋体"/>
          <w:b w:val="0"/>
          <w:bCs w:val="0"/>
          <w:kern w:val="0"/>
          <w:sz w:val="28"/>
          <w:szCs w:val="28"/>
          <w:lang w:val="en-US" w:eastAsia="zh-CN" w:bidi="ar"/>
        </w:rPr>
        <w:t>※7、样品以及产品质量检测报告要求：响应供应商应提供无酸六合函套样品一只，同时提供由国家级检测机构（含省级）出具的近三年内的古籍无酸六合函套及内材无酸纸板无酸要求检测报告。</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560" w:firstLineChars="200"/>
        <w:jc w:val="both"/>
        <w:textAlignment w:val="auto"/>
        <w:outlineLvl w:val="9"/>
        <w:rPr>
          <w:rFonts w:hint="eastAsia" w:ascii="宋体" w:hAnsi="宋体" w:eastAsia="宋体" w:cs="宋体"/>
          <w:b w:val="0"/>
          <w:bCs w:val="0"/>
          <w:sz w:val="28"/>
          <w:szCs w:val="28"/>
        </w:rPr>
      </w:pPr>
      <w:r>
        <w:rPr>
          <w:rFonts w:hint="eastAsia" w:ascii="宋体" w:hAnsi="宋体" w:eastAsia="宋体" w:cs="宋体"/>
          <w:b w:val="0"/>
          <w:bCs w:val="0"/>
          <w:sz w:val="28"/>
          <w:szCs w:val="28"/>
        </w:rPr>
        <w:t>（二）制作工艺标准</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560" w:firstLineChars="200"/>
        <w:jc w:val="both"/>
        <w:textAlignment w:val="auto"/>
        <w:outlineLvl w:val="9"/>
        <w:rPr>
          <w:rFonts w:hint="eastAsia" w:ascii="宋体" w:hAnsi="宋体" w:eastAsia="宋体" w:cs="宋体"/>
          <w:b w:val="0"/>
          <w:bCs w:val="0"/>
          <w:sz w:val="28"/>
          <w:szCs w:val="28"/>
          <w:lang w:val="en-US"/>
        </w:rPr>
      </w:pPr>
      <w:r>
        <w:rPr>
          <w:rFonts w:hint="eastAsia" w:ascii="宋体" w:hAnsi="宋体" w:eastAsia="宋体" w:cs="宋体"/>
          <w:b w:val="0"/>
          <w:bCs w:val="0"/>
          <w:kern w:val="0"/>
          <w:sz w:val="28"/>
          <w:szCs w:val="28"/>
          <w:lang w:val="en-US" w:eastAsia="zh-CN" w:bidi="ar"/>
        </w:rPr>
        <w:t>※1、尺寸勘测：上门逐册精准测量古籍长宽厚尺寸，一对一专属定制，杜绝批量通用尺寸，函套与古籍贴合紧密，松紧适度，取放顺畅不卡顿。并根据原有函套存放古籍合理调整新制作函套数量，如将原四函套改为六函套或八函套。</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560" w:firstLineChars="200"/>
        <w:jc w:val="both"/>
        <w:textAlignment w:val="auto"/>
        <w:outlineLvl w:val="9"/>
        <w:rPr>
          <w:rFonts w:hint="eastAsia" w:ascii="宋体" w:hAnsi="宋体" w:eastAsia="宋体" w:cs="宋体"/>
          <w:b w:val="0"/>
          <w:bCs w:val="0"/>
          <w:sz w:val="28"/>
          <w:szCs w:val="28"/>
        </w:rPr>
      </w:pPr>
      <w:r>
        <w:rPr>
          <w:rFonts w:hint="eastAsia" w:ascii="宋体" w:hAnsi="宋体" w:eastAsia="宋体" w:cs="宋体"/>
          <w:b w:val="0"/>
          <w:bCs w:val="0"/>
          <w:kern w:val="0"/>
          <w:sz w:val="28"/>
          <w:szCs w:val="28"/>
          <w:lang w:val="en-US" w:eastAsia="zh-CN" w:bidi="ar"/>
        </w:rPr>
        <w:t>※2、形制规范：严格按照GB/T35662—2017标准制作，六合云头套形制规整，边角方正、线条平直，包边均匀平整，无褶皱、无翘边、无破损、无污渍。</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560" w:firstLineChars="200"/>
        <w:jc w:val="both"/>
        <w:textAlignment w:val="auto"/>
        <w:outlineLvl w:val="9"/>
        <w:rPr>
          <w:rFonts w:hint="eastAsia" w:ascii="宋体" w:hAnsi="宋体" w:eastAsia="宋体" w:cs="宋体"/>
          <w:b w:val="0"/>
          <w:bCs w:val="0"/>
          <w:sz w:val="28"/>
          <w:szCs w:val="28"/>
        </w:rPr>
      </w:pPr>
      <w:r>
        <w:rPr>
          <w:rFonts w:hint="eastAsia" w:ascii="宋体" w:hAnsi="宋体" w:eastAsia="宋体" w:cs="宋体"/>
          <w:b w:val="0"/>
          <w:bCs w:val="0"/>
          <w:kern w:val="0"/>
          <w:sz w:val="28"/>
          <w:szCs w:val="28"/>
          <w:lang w:val="en-US" w:eastAsia="zh-CN" w:bidi="ar"/>
        </w:rPr>
        <w:t>3、工艺细节：缝线均匀细密、针脚规整，无跳线、无断线；开合顺畅，卡扣、系带松紧适宜，整体造型古朴规整，贴合古籍传统装帧风格。</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560" w:firstLineChars="200"/>
        <w:jc w:val="both"/>
        <w:textAlignment w:val="auto"/>
        <w:outlineLvl w:val="9"/>
        <w:rPr>
          <w:rFonts w:hint="eastAsia" w:ascii="宋体" w:hAnsi="宋体" w:eastAsia="宋体" w:cs="宋体"/>
          <w:b w:val="0"/>
          <w:bCs w:val="0"/>
          <w:kern w:val="0"/>
          <w:sz w:val="28"/>
          <w:szCs w:val="28"/>
          <w:lang w:val="en-US" w:eastAsia="zh-CN" w:bidi="ar"/>
        </w:rPr>
      </w:pPr>
      <w:r>
        <w:rPr>
          <w:rFonts w:hint="eastAsia" w:ascii="宋体" w:hAnsi="宋体" w:eastAsia="宋体" w:cs="宋体"/>
          <w:b w:val="0"/>
          <w:bCs w:val="0"/>
          <w:kern w:val="0"/>
          <w:sz w:val="28"/>
          <w:szCs w:val="28"/>
          <w:lang w:val="en-US" w:eastAsia="zh-CN" w:bidi="ar"/>
        </w:rPr>
        <w:t>4、适配性要求：针对破损、异形、厚薄不均古籍，可定制特殊规格函套，做到一册一制，全方位保护古籍文献。</w:t>
      </w:r>
    </w:p>
    <w:p>
      <w:pPr>
        <w:keepNext w:val="0"/>
        <w:keepLines w:val="0"/>
        <w:pageBreakBefore w:val="0"/>
        <w:kinsoku/>
        <w:wordWrap/>
        <w:overflowPunct/>
        <w:topLinePunct w:val="0"/>
        <w:autoSpaceDE/>
        <w:autoSpaceDN/>
        <w:bidi w:val="0"/>
        <w:adjustRightInd/>
        <w:snapToGrid/>
        <w:spacing w:beforeAutospacing="0" w:afterAutospacing="0" w:line="480" w:lineRule="auto"/>
        <w:ind w:firstLine="560" w:firstLineChars="200"/>
        <w:jc w:val="both"/>
        <w:textAlignment w:val="auto"/>
        <w:outlineLvl w:val="9"/>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二、服务内容及要求</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560" w:firstLineChars="200"/>
        <w:jc w:val="both"/>
        <w:textAlignment w:val="auto"/>
        <w:outlineLvl w:val="9"/>
        <w:rPr>
          <w:rFonts w:hint="eastAsia" w:ascii="宋体" w:hAnsi="宋体" w:eastAsia="宋体" w:cs="宋体"/>
          <w:b w:val="0"/>
          <w:bCs w:val="0"/>
          <w:sz w:val="28"/>
          <w:szCs w:val="28"/>
        </w:rPr>
      </w:pPr>
      <w:r>
        <w:rPr>
          <w:rFonts w:hint="eastAsia" w:ascii="宋体" w:hAnsi="宋体" w:eastAsia="宋体" w:cs="宋体"/>
          <w:b w:val="0"/>
          <w:bCs w:val="0"/>
          <w:kern w:val="0"/>
          <w:sz w:val="28"/>
          <w:szCs w:val="28"/>
          <w:lang w:val="en-US" w:eastAsia="zh-CN" w:bidi="ar"/>
        </w:rPr>
        <w:t xml:space="preserve">1、前期勘测服务：中标供应商须安排专业技术人员上门驻场，逐册清点、测量古籍尺寸，统计规格、数量，形成详细勘测清单，报采购人审核确认后开工制作。数据采集及测量费用由中标供应商承担。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560" w:firstLineChars="200"/>
        <w:jc w:val="both"/>
        <w:textAlignment w:val="auto"/>
        <w:outlineLvl w:val="9"/>
        <w:rPr>
          <w:rFonts w:hint="eastAsia" w:ascii="宋体" w:hAnsi="宋体" w:eastAsia="宋体" w:cs="宋体"/>
          <w:b w:val="0"/>
          <w:bCs w:val="0"/>
          <w:kern w:val="0"/>
          <w:sz w:val="28"/>
          <w:szCs w:val="28"/>
          <w:lang w:val="en-US" w:eastAsia="zh-CN" w:bidi="ar"/>
        </w:rPr>
      </w:pPr>
      <w:r>
        <w:rPr>
          <w:rFonts w:hint="eastAsia" w:ascii="宋体" w:hAnsi="宋体" w:eastAsia="宋体" w:cs="宋体"/>
          <w:b w:val="0"/>
          <w:bCs w:val="0"/>
          <w:kern w:val="0"/>
          <w:sz w:val="28"/>
          <w:szCs w:val="28"/>
          <w:lang w:val="en-US" w:eastAsia="zh-CN" w:bidi="ar"/>
        </w:rPr>
        <w:t>2、定制制作服务：根据审核后的勘测数据，标准化、精细化制作各类古籍函套，全程严控工艺与材质质量，杜绝偷工减料、工艺简化。</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80" w:lineRule="auto"/>
        <w:ind w:firstLine="560" w:firstLineChars="200"/>
        <w:jc w:val="both"/>
        <w:textAlignment w:val="auto"/>
        <w:outlineLvl w:val="9"/>
        <w:rPr>
          <w:rFonts w:hint="eastAsia" w:ascii="宋体" w:hAnsi="宋体" w:eastAsia="宋体" w:cs="宋体"/>
          <w:b w:val="0"/>
          <w:bCs w:val="0"/>
          <w:kern w:val="0"/>
          <w:sz w:val="28"/>
          <w:szCs w:val="28"/>
          <w:lang w:val="en-US" w:eastAsia="zh-CN" w:bidi="ar"/>
        </w:rPr>
      </w:pPr>
      <w:r>
        <w:rPr>
          <w:rFonts w:hint="eastAsia" w:ascii="宋体" w:hAnsi="宋体" w:eastAsia="宋体" w:cs="宋体"/>
          <w:b w:val="0"/>
          <w:bCs w:val="0"/>
          <w:kern w:val="0"/>
          <w:sz w:val="28"/>
          <w:szCs w:val="28"/>
          <w:lang w:val="en-US" w:eastAsia="zh-CN" w:bidi="ar"/>
        </w:rPr>
        <w:t>3、现场交付安装：成品制作完成后，送货上门、免费安装，逐册对应加装函套，整理归位；函套盒尺寸合格率保证 100%，尺寸不符，更换重做。函套由中标供应商负责运输，费用由中标供应商承担。</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80" w:lineRule="auto"/>
        <w:jc w:val="both"/>
        <w:textAlignment w:val="auto"/>
        <w:outlineLvl w:val="9"/>
        <w:rPr>
          <w:rFonts w:hint="eastAsia" w:ascii="宋体" w:hAnsi="宋体" w:eastAsia="宋体" w:cs="宋体"/>
          <w:b w:val="0"/>
          <w:bCs w:val="0"/>
          <w:sz w:val="28"/>
          <w:szCs w:val="28"/>
        </w:rPr>
      </w:pPr>
      <w:r>
        <w:rPr>
          <w:rFonts w:hint="eastAsia" w:ascii="宋体" w:hAnsi="宋体" w:eastAsia="宋体" w:cs="宋体"/>
          <w:b w:val="0"/>
          <w:bCs w:val="0"/>
          <w:kern w:val="0"/>
          <w:sz w:val="28"/>
          <w:szCs w:val="28"/>
          <w:lang w:val="en-US" w:eastAsia="zh-CN" w:bidi="ar"/>
        </w:rPr>
        <w:t xml:space="preserve">    4、整改优化服务：针对采购人验收提出的瑕疵问题，中标供应商应无条件免费返工、整改、更换，直至验收合格。</w:t>
      </w:r>
    </w:p>
    <w:p>
      <w:pPr>
        <w:keepNext w:val="0"/>
        <w:keepLines w:val="0"/>
        <w:pageBreakBefore w:val="0"/>
        <w:kinsoku/>
        <w:wordWrap/>
        <w:overflowPunct/>
        <w:topLinePunct w:val="0"/>
        <w:autoSpaceDE/>
        <w:autoSpaceDN/>
        <w:bidi w:val="0"/>
        <w:adjustRightInd/>
        <w:snapToGrid/>
        <w:spacing w:beforeAutospacing="0" w:afterAutospacing="0" w:line="480" w:lineRule="auto"/>
        <w:ind w:firstLine="560" w:firstLineChars="200"/>
        <w:jc w:val="both"/>
        <w:textAlignment w:val="auto"/>
        <w:outlineLvl w:val="9"/>
        <w:rPr>
          <w:rFonts w:hint="eastAsia" w:ascii="宋体" w:hAnsi="宋体" w:eastAsia="宋体" w:cs="宋体"/>
          <w:b w:val="0"/>
          <w:bCs w:val="0"/>
          <w:sz w:val="28"/>
          <w:szCs w:val="28"/>
        </w:rPr>
      </w:pPr>
      <w:r>
        <w:rPr>
          <w:rFonts w:hint="eastAsia" w:ascii="宋体" w:hAnsi="宋体" w:eastAsia="宋体" w:cs="宋体"/>
          <w:b w:val="0"/>
          <w:bCs w:val="0"/>
          <w:sz w:val="28"/>
          <w:szCs w:val="28"/>
          <w:lang w:val="en-US" w:eastAsia="zh-CN"/>
        </w:rPr>
        <w:t>三</w:t>
      </w:r>
      <w:r>
        <w:rPr>
          <w:rFonts w:hint="eastAsia" w:ascii="宋体" w:hAnsi="宋体" w:eastAsia="宋体" w:cs="宋体"/>
          <w:b w:val="0"/>
          <w:bCs w:val="0"/>
          <w:sz w:val="28"/>
          <w:szCs w:val="28"/>
        </w:rPr>
        <w:t>、交付与工期要求</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560" w:firstLineChars="200"/>
        <w:jc w:val="both"/>
        <w:textAlignment w:val="auto"/>
        <w:outlineLvl w:val="9"/>
        <w:rPr>
          <w:rFonts w:hint="eastAsia" w:ascii="宋体" w:hAnsi="宋体" w:eastAsia="宋体" w:cs="宋体"/>
          <w:b w:val="0"/>
          <w:bCs w:val="0"/>
          <w:sz w:val="28"/>
          <w:szCs w:val="28"/>
        </w:rPr>
      </w:pPr>
      <w:r>
        <w:rPr>
          <w:rFonts w:hint="eastAsia" w:ascii="宋体" w:hAnsi="宋体" w:eastAsia="宋体" w:cs="宋体"/>
          <w:b w:val="0"/>
          <w:bCs w:val="0"/>
          <w:kern w:val="0"/>
          <w:sz w:val="28"/>
          <w:szCs w:val="28"/>
          <w:lang w:val="en-US" w:eastAsia="zh-CN" w:bidi="ar"/>
        </w:rPr>
        <w:t>1、工期：合同签订后5个工作日内进场勘测，普通古籍函套30日历天内交付安装完毕，善本古籍函套40日历天内完成全部服务，整体项目无特殊情况不得延期。</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560" w:firstLineChars="200"/>
        <w:jc w:val="both"/>
        <w:textAlignment w:val="auto"/>
        <w:outlineLvl w:val="9"/>
        <w:rPr>
          <w:rFonts w:hint="eastAsia" w:ascii="宋体" w:hAnsi="宋体" w:eastAsia="宋体" w:cs="宋体"/>
          <w:b w:val="0"/>
          <w:bCs w:val="0"/>
          <w:sz w:val="28"/>
          <w:szCs w:val="28"/>
        </w:rPr>
      </w:pPr>
      <w:r>
        <w:rPr>
          <w:rFonts w:hint="eastAsia" w:ascii="宋体" w:hAnsi="宋体" w:eastAsia="宋体" w:cs="宋体"/>
          <w:b w:val="0"/>
          <w:bCs w:val="0"/>
          <w:kern w:val="0"/>
          <w:sz w:val="28"/>
          <w:szCs w:val="28"/>
          <w:lang w:val="en-US" w:eastAsia="zh-CN" w:bidi="ar"/>
        </w:rPr>
        <w:t>2、交付地点：采购人指定古籍馆藏室。</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560" w:firstLineChars="200"/>
        <w:jc w:val="both"/>
        <w:textAlignment w:val="auto"/>
        <w:outlineLvl w:val="9"/>
        <w:rPr>
          <w:rFonts w:hint="eastAsia" w:ascii="宋体" w:hAnsi="宋体" w:eastAsia="宋体" w:cs="宋体"/>
          <w:b w:val="0"/>
          <w:bCs w:val="0"/>
          <w:sz w:val="28"/>
          <w:szCs w:val="28"/>
        </w:rPr>
      </w:pPr>
      <w:r>
        <w:rPr>
          <w:rFonts w:hint="eastAsia" w:ascii="宋体" w:hAnsi="宋体" w:eastAsia="宋体" w:cs="宋体"/>
          <w:b w:val="0"/>
          <w:bCs w:val="0"/>
          <w:kern w:val="0"/>
          <w:sz w:val="28"/>
          <w:szCs w:val="28"/>
          <w:lang w:val="en-US" w:eastAsia="zh-CN" w:bidi="ar"/>
        </w:rPr>
        <w:t>3、交付标准：所有成品外观规整、材质达标、工艺合格，台账资料完整，现场整洁无杂物，100%通过采购人验收。</w:t>
      </w:r>
    </w:p>
    <w:p>
      <w:pPr>
        <w:keepNext w:val="0"/>
        <w:keepLines w:val="0"/>
        <w:pageBreakBefore w:val="0"/>
        <w:kinsoku/>
        <w:wordWrap/>
        <w:overflowPunct/>
        <w:topLinePunct w:val="0"/>
        <w:autoSpaceDE/>
        <w:autoSpaceDN/>
        <w:bidi w:val="0"/>
        <w:adjustRightInd/>
        <w:snapToGrid/>
        <w:spacing w:beforeAutospacing="0" w:afterAutospacing="0" w:line="480" w:lineRule="auto"/>
        <w:ind w:firstLine="560" w:firstLineChars="200"/>
        <w:jc w:val="both"/>
        <w:textAlignment w:val="auto"/>
        <w:outlineLvl w:val="9"/>
        <w:rPr>
          <w:rFonts w:hint="eastAsia" w:ascii="宋体" w:hAnsi="宋体" w:eastAsia="宋体" w:cs="宋体"/>
          <w:b w:val="0"/>
          <w:bCs w:val="0"/>
          <w:sz w:val="28"/>
          <w:szCs w:val="28"/>
        </w:rPr>
      </w:pPr>
      <w:r>
        <w:rPr>
          <w:rFonts w:hint="eastAsia" w:ascii="宋体" w:hAnsi="宋体" w:eastAsia="宋体" w:cs="宋体"/>
          <w:b w:val="0"/>
          <w:bCs w:val="0"/>
          <w:sz w:val="28"/>
          <w:szCs w:val="28"/>
          <w:lang w:val="en-US" w:eastAsia="zh-CN"/>
        </w:rPr>
        <w:t>四</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项目</w:t>
      </w:r>
      <w:r>
        <w:rPr>
          <w:rFonts w:hint="eastAsia" w:ascii="宋体" w:hAnsi="宋体" w:eastAsia="宋体" w:cs="宋体"/>
          <w:b w:val="0"/>
          <w:bCs w:val="0"/>
          <w:sz w:val="28"/>
          <w:szCs w:val="28"/>
        </w:rPr>
        <w:t>售后</w:t>
      </w:r>
      <w:r>
        <w:rPr>
          <w:rFonts w:hint="eastAsia" w:ascii="宋体" w:hAnsi="宋体" w:eastAsia="宋体" w:cs="宋体"/>
          <w:b w:val="0"/>
          <w:bCs w:val="0"/>
          <w:sz w:val="28"/>
          <w:szCs w:val="28"/>
          <w:lang w:eastAsia="zh-CN"/>
        </w:rPr>
        <w:t>及</w:t>
      </w:r>
      <w:r>
        <w:rPr>
          <w:rFonts w:hint="eastAsia" w:ascii="宋体" w:hAnsi="宋体" w:eastAsia="宋体" w:cs="宋体"/>
          <w:b w:val="0"/>
          <w:bCs w:val="0"/>
          <w:sz w:val="28"/>
          <w:szCs w:val="28"/>
        </w:rPr>
        <w:t>质保</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560" w:firstLineChars="200"/>
        <w:jc w:val="both"/>
        <w:textAlignment w:val="auto"/>
        <w:outlineLvl w:val="9"/>
        <w:rPr>
          <w:rFonts w:hint="eastAsia" w:ascii="宋体" w:hAnsi="宋体" w:eastAsia="宋体" w:cs="宋体"/>
          <w:b w:val="0"/>
          <w:bCs w:val="0"/>
          <w:sz w:val="28"/>
          <w:szCs w:val="28"/>
        </w:rPr>
      </w:pPr>
      <w:r>
        <w:rPr>
          <w:rFonts w:hint="eastAsia" w:ascii="宋体" w:hAnsi="宋体" w:eastAsia="宋体" w:cs="宋体"/>
          <w:b w:val="0"/>
          <w:bCs w:val="0"/>
          <w:kern w:val="0"/>
          <w:sz w:val="28"/>
          <w:szCs w:val="28"/>
          <w:lang w:val="en-US" w:eastAsia="zh-CN" w:bidi="ar"/>
        </w:rPr>
        <w:t>1、质保期：项目质保5年，终身维护。质保期内出现脱胶、变形、破损、褪色、脱丝等质量问题，供应商无条件免费维修、更换。</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560" w:firstLineChars="200"/>
        <w:jc w:val="both"/>
        <w:textAlignment w:val="auto"/>
        <w:outlineLvl w:val="9"/>
        <w:rPr>
          <w:rFonts w:hint="eastAsia" w:ascii="宋体" w:hAnsi="宋体" w:eastAsia="宋体" w:cs="宋体"/>
          <w:b w:val="0"/>
          <w:bCs w:val="0"/>
          <w:sz w:val="28"/>
          <w:szCs w:val="28"/>
        </w:rPr>
      </w:pPr>
      <w:r>
        <w:rPr>
          <w:rFonts w:hint="eastAsia" w:ascii="宋体" w:hAnsi="宋体" w:eastAsia="宋体" w:cs="宋体"/>
          <w:b w:val="0"/>
          <w:bCs w:val="0"/>
          <w:kern w:val="0"/>
          <w:sz w:val="28"/>
          <w:szCs w:val="28"/>
          <w:lang w:val="en-US" w:eastAsia="zh-CN" w:bidi="ar"/>
        </w:rPr>
        <w:t>2、应急响应：质保期内接到报修后，24小时内响应，48小时内到达现场处理完毕。</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560" w:firstLineChars="200"/>
        <w:jc w:val="both"/>
        <w:textAlignment w:val="auto"/>
        <w:outlineLvl w:val="9"/>
        <w:rPr>
          <w:rFonts w:hint="eastAsia" w:ascii="宋体" w:hAnsi="宋体" w:eastAsia="宋体" w:cs="宋体"/>
          <w:b w:val="0"/>
          <w:bCs w:val="0"/>
          <w:sz w:val="28"/>
          <w:szCs w:val="28"/>
        </w:rPr>
      </w:pPr>
      <w:r>
        <w:rPr>
          <w:rFonts w:hint="eastAsia" w:ascii="宋体" w:hAnsi="宋体" w:eastAsia="宋体" w:cs="宋体"/>
          <w:b w:val="0"/>
          <w:bCs w:val="0"/>
          <w:kern w:val="0"/>
          <w:sz w:val="28"/>
          <w:szCs w:val="28"/>
          <w:lang w:val="en-US" w:eastAsia="zh-CN" w:bidi="ar"/>
        </w:rPr>
        <w:t>3、回访服务：每年度主动上门回访排查函套使用情况，提供免费养护指导服务。</w:t>
      </w:r>
    </w:p>
    <w:p>
      <w:pPr>
        <w:keepNext w:val="0"/>
        <w:keepLines w:val="0"/>
        <w:pageBreakBefore w:val="0"/>
        <w:kinsoku/>
        <w:wordWrap/>
        <w:overflowPunct/>
        <w:topLinePunct w:val="0"/>
        <w:autoSpaceDE/>
        <w:autoSpaceDN/>
        <w:bidi w:val="0"/>
        <w:adjustRightInd/>
        <w:snapToGrid/>
        <w:spacing w:beforeAutospacing="0" w:afterAutospacing="0" w:line="480" w:lineRule="auto"/>
        <w:ind w:firstLine="560" w:firstLineChars="200"/>
        <w:jc w:val="both"/>
        <w:textAlignment w:val="auto"/>
        <w:outlineLvl w:val="9"/>
        <w:rPr>
          <w:rFonts w:hint="eastAsia" w:ascii="宋体" w:hAnsi="宋体" w:eastAsia="宋体" w:cs="宋体"/>
          <w:b w:val="0"/>
          <w:bCs w:val="0"/>
          <w:sz w:val="28"/>
          <w:szCs w:val="28"/>
          <w:lang w:eastAsia="zh-CN"/>
        </w:rPr>
      </w:pPr>
      <w:r>
        <w:rPr>
          <w:rFonts w:hint="eastAsia" w:ascii="宋体" w:hAnsi="宋体" w:eastAsia="宋体" w:cs="宋体"/>
          <w:b w:val="0"/>
          <w:bCs w:val="0"/>
          <w:sz w:val="28"/>
          <w:szCs w:val="28"/>
          <w:lang w:val="en-US" w:eastAsia="zh-CN"/>
        </w:rPr>
        <w:t>五</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项目具体要求</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560" w:firstLineChars="200"/>
        <w:jc w:val="both"/>
        <w:textAlignment w:val="auto"/>
        <w:outlineLvl w:val="9"/>
        <w:rPr>
          <w:rFonts w:hint="eastAsia" w:ascii="宋体" w:hAnsi="宋体" w:eastAsia="宋体" w:cs="宋体"/>
          <w:b w:val="0"/>
          <w:bCs w:val="0"/>
          <w:sz w:val="28"/>
          <w:szCs w:val="28"/>
        </w:rPr>
      </w:pPr>
      <w:r>
        <w:rPr>
          <w:rFonts w:hint="eastAsia" w:ascii="宋体" w:hAnsi="宋体" w:eastAsia="宋体" w:cs="宋体"/>
          <w:b w:val="0"/>
          <w:bCs w:val="0"/>
          <w:kern w:val="0"/>
          <w:sz w:val="28"/>
          <w:szCs w:val="28"/>
          <w:lang w:val="en-US" w:eastAsia="zh-CN" w:bidi="ar"/>
        </w:rPr>
        <w:t>1、材质要求：核查无酸纸板、面料、胶水等原材料检测报告，PH值、环保指标、安全指标全部达标，无劣质、酸化材料。</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560" w:firstLineChars="200"/>
        <w:jc w:val="both"/>
        <w:textAlignment w:val="auto"/>
        <w:outlineLvl w:val="9"/>
        <w:rPr>
          <w:rFonts w:hint="eastAsia" w:ascii="宋体" w:hAnsi="宋体" w:eastAsia="宋体" w:cs="宋体"/>
          <w:b w:val="0"/>
          <w:bCs w:val="0"/>
          <w:sz w:val="28"/>
          <w:szCs w:val="28"/>
        </w:rPr>
      </w:pPr>
      <w:r>
        <w:rPr>
          <w:rFonts w:hint="eastAsia" w:ascii="宋体" w:hAnsi="宋体" w:eastAsia="宋体" w:cs="宋体"/>
          <w:b w:val="0"/>
          <w:bCs w:val="0"/>
          <w:kern w:val="0"/>
          <w:sz w:val="28"/>
          <w:szCs w:val="28"/>
          <w:lang w:val="en-US" w:eastAsia="zh-CN" w:bidi="ar"/>
        </w:rPr>
        <w:t>2、工艺要求：逐批抽查函套形制、尺寸、针脚、包边、题签工艺，无瑕疵、无质量问题，贴合国标及采购人定制要求。</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560" w:firstLineChars="200"/>
        <w:jc w:val="both"/>
        <w:textAlignment w:val="auto"/>
        <w:outlineLvl w:val="9"/>
        <w:rPr>
          <w:rFonts w:hint="eastAsia" w:ascii="宋体" w:hAnsi="宋体" w:eastAsia="宋体" w:cs="宋体"/>
          <w:b w:val="0"/>
          <w:bCs w:val="0"/>
          <w:kern w:val="0"/>
          <w:sz w:val="28"/>
          <w:szCs w:val="28"/>
          <w:lang w:val="en-US" w:eastAsia="zh-CN" w:bidi="ar"/>
        </w:rPr>
      </w:pPr>
      <w:r>
        <w:rPr>
          <w:rFonts w:hint="eastAsia" w:ascii="宋体" w:hAnsi="宋体" w:eastAsia="宋体" w:cs="宋体"/>
          <w:b w:val="0"/>
          <w:bCs w:val="0"/>
          <w:kern w:val="0"/>
          <w:sz w:val="28"/>
          <w:szCs w:val="28"/>
          <w:lang w:val="en-US" w:eastAsia="zh-CN" w:bidi="ar"/>
        </w:rPr>
        <w:t>3、整体要求：台账资料齐全、安装规范、古籍摆放规整，无二次破损、无环境污染，全部符合古籍馆藏保护标准。</w:t>
      </w:r>
    </w:p>
    <w:p>
      <w:pPr>
        <w:keepNext w:val="0"/>
        <w:keepLines w:val="0"/>
        <w:pageBreakBefore w:val="0"/>
        <w:kinsoku/>
        <w:wordWrap/>
        <w:overflowPunct/>
        <w:topLinePunct w:val="0"/>
        <w:autoSpaceDE/>
        <w:autoSpaceDN/>
        <w:bidi w:val="0"/>
        <w:adjustRightInd/>
        <w:snapToGrid/>
        <w:spacing w:beforeAutospacing="0" w:afterAutospacing="0" w:line="480" w:lineRule="auto"/>
        <w:ind w:firstLine="560" w:firstLineChars="200"/>
        <w:jc w:val="both"/>
        <w:textAlignment w:val="auto"/>
        <w:outlineLvl w:val="9"/>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六、项目采购数量：不少于500套（其中宋锦函套不少于50套，蓝布函套不少于450套）。</w:t>
      </w:r>
    </w:p>
    <w:p>
      <w:pPr>
        <w:keepNext w:val="0"/>
        <w:keepLines w:val="0"/>
        <w:pageBreakBefore w:val="0"/>
        <w:kinsoku/>
        <w:wordWrap/>
        <w:overflowPunct/>
        <w:topLinePunct w:val="0"/>
        <w:autoSpaceDE/>
        <w:autoSpaceDN/>
        <w:bidi w:val="0"/>
        <w:adjustRightInd/>
        <w:snapToGrid/>
        <w:spacing w:beforeAutospacing="0" w:afterAutospacing="0" w:line="480" w:lineRule="auto"/>
        <w:ind w:firstLine="560" w:firstLineChars="200"/>
        <w:jc w:val="both"/>
        <w:textAlignment w:val="auto"/>
        <w:outlineLvl w:val="9"/>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七、项目采购预算：7万元整</w:t>
      </w:r>
    </w:p>
    <w:p>
      <w:pPr>
        <w:keepNext w:val="0"/>
        <w:keepLines w:val="0"/>
        <w:pageBreakBefore w:val="0"/>
        <w:kinsoku/>
        <w:wordWrap/>
        <w:overflowPunct/>
        <w:topLinePunct w:val="0"/>
        <w:autoSpaceDE/>
        <w:autoSpaceDN/>
        <w:bidi w:val="0"/>
        <w:adjustRightInd/>
        <w:snapToGrid/>
        <w:spacing w:beforeAutospacing="0" w:afterAutospacing="0" w:line="480" w:lineRule="auto"/>
        <w:ind w:firstLine="560" w:firstLineChars="200"/>
        <w:jc w:val="both"/>
        <w:textAlignment w:val="auto"/>
        <w:outlineLvl w:val="9"/>
        <w:rPr>
          <w:rFonts w:hint="eastAsia" w:ascii="宋体" w:hAnsi="宋体" w:eastAsia="宋体" w:cs="宋体"/>
          <w:b w:val="0"/>
          <w:bCs w:val="0"/>
          <w:sz w:val="28"/>
          <w:szCs w:val="28"/>
          <w:lang w:val="en-US" w:eastAsia="zh-CN"/>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560" w:firstLineChars="200"/>
        <w:jc w:val="both"/>
        <w:textAlignment w:val="auto"/>
        <w:outlineLvl w:val="9"/>
        <w:rPr>
          <w:rFonts w:hint="eastAsia" w:ascii="宋体" w:hAnsi="宋体" w:eastAsia="宋体" w:cs="宋体"/>
          <w:b w:val="0"/>
          <w:bCs w:val="0"/>
          <w:kern w:val="0"/>
          <w:sz w:val="28"/>
          <w:szCs w:val="28"/>
          <w:lang w:val="en-US" w:eastAsia="zh-CN" w:bidi="ar"/>
        </w:rPr>
      </w:pPr>
    </w:p>
    <w:p>
      <w:pPr>
        <w:keepNext w:val="0"/>
        <w:keepLines/>
        <w:pageBreakBefore/>
        <w:widowControl/>
        <w:suppressLineNumbers w:val="0"/>
        <w:kinsoku/>
        <w:wordWrap/>
        <w:overflowPunct/>
        <w:topLinePunct w:val="0"/>
        <w:autoSpaceDE/>
        <w:autoSpaceDN/>
        <w:bidi w:val="0"/>
        <w:adjustRightInd/>
        <w:snapToGrid/>
        <w:jc w:val="center"/>
        <w:textAlignment w:val="auto"/>
        <w:rPr>
          <w:rFonts w:hint="default" w:ascii="宋体" w:hAnsi="宋体" w:eastAsia="宋体" w:cs="宋体"/>
          <w:b w:val="0"/>
          <w:bCs w:val="0"/>
          <w:kern w:val="0"/>
          <w:sz w:val="32"/>
          <w:szCs w:val="32"/>
          <w:lang w:val="en-US" w:eastAsia="zh-CN" w:bidi="ar"/>
        </w:rPr>
      </w:pPr>
      <w:r>
        <w:rPr>
          <w:rFonts w:hint="eastAsia" w:ascii="宋体" w:hAnsi="宋体" w:eastAsia="宋体" w:cs="宋体"/>
          <w:b w:val="0"/>
          <w:bCs w:val="0"/>
          <w:kern w:val="0"/>
          <w:sz w:val="32"/>
          <w:szCs w:val="32"/>
          <w:lang w:val="en-US" w:eastAsia="zh-CN" w:bidi="ar"/>
        </w:rPr>
        <w:t>评分标准</w:t>
      </w:r>
    </w:p>
    <w:tbl>
      <w:tblPr>
        <w:tblStyle w:val="7"/>
        <w:tblW w:w="10965" w:type="dxa"/>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291"/>
        <w:gridCol w:w="1217"/>
        <w:gridCol w:w="783"/>
        <w:gridCol w:w="6900"/>
        <w:gridCol w:w="77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Ex>
        <w:trPr>
          <w:trHeight w:val="643" w:hRule="atLeast"/>
          <w:jc w:val="center"/>
        </w:trPr>
        <w:tc>
          <w:tcPr>
            <w:tcW w:w="1291" w:type="dxa"/>
            <w:tcBorders>
              <w:tl2br w:val="nil"/>
              <w:tr2bl w:val="nil"/>
            </w:tcBorders>
            <w:tcMar>
              <w:top w:w="100" w:type="dxa"/>
              <w:bottom w:w="100" w:type="dxa"/>
            </w:tcMar>
            <w:vAlign w:val="center"/>
          </w:tcPr>
          <w:p>
            <w:pPr>
              <w:pStyle w:val="9"/>
              <w:keepNext w:val="0"/>
              <w:keepLines w:val="0"/>
              <w:pageBreakBefore w:val="0"/>
              <w:widowControl/>
              <w:kinsoku/>
              <w:wordWrap/>
              <w:overflowPunct/>
              <w:topLinePunct w:val="0"/>
              <w:autoSpaceDE/>
              <w:autoSpaceDN/>
              <w:bidi w:val="0"/>
              <w:adjustRightInd/>
              <w:snapToGrid/>
              <w:spacing w:line="520" w:lineRule="exact"/>
              <w:jc w:val="center"/>
              <w:textAlignment w:val="auto"/>
              <w:rPr>
                <w:rStyle w:val="5"/>
                <w:rFonts w:hint="eastAsia" w:ascii="宋体" w:hAnsi="宋体" w:eastAsia="宋体" w:cs="宋体"/>
                <w:b w:val="0"/>
                <w:sz w:val="24"/>
                <w:szCs w:val="24"/>
              </w:rPr>
            </w:pPr>
            <w:r>
              <w:rPr>
                <w:rStyle w:val="5"/>
                <w:rFonts w:hint="eastAsia" w:ascii="宋体" w:hAnsi="宋体" w:eastAsia="宋体" w:cs="宋体"/>
                <w:b w:val="0"/>
                <w:kern w:val="2"/>
                <w:sz w:val="24"/>
                <w:szCs w:val="24"/>
                <w:lang w:val="en-US" w:eastAsia="zh-CN" w:bidi="ar-SA"/>
              </w:rPr>
              <w:t>评审因素</w:t>
            </w:r>
          </w:p>
        </w:tc>
        <w:tc>
          <w:tcPr>
            <w:tcW w:w="1217" w:type="dxa"/>
            <w:tcBorders>
              <w:tl2br w:val="nil"/>
              <w:tr2bl w:val="nil"/>
            </w:tcBorders>
            <w:tcMar>
              <w:top w:w="100" w:type="dxa"/>
              <w:bottom w:w="100" w:type="dxa"/>
            </w:tcMar>
            <w:vAlign w:val="center"/>
          </w:tcPr>
          <w:p>
            <w:pPr>
              <w:pStyle w:val="9"/>
              <w:keepNext w:val="0"/>
              <w:keepLines w:val="0"/>
              <w:pageBreakBefore w:val="0"/>
              <w:widowControl/>
              <w:kinsoku/>
              <w:wordWrap/>
              <w:overflowPunct/>
              <w:topLinePunct w:val="0"/>
              <w:autoSpaceDE/>
              <w:autoSpaceDN/>
              <w:bidi w:val="0"/>
              <w:adjustRightInd/>
              <w:snapToGrid/>
              <w:spacing w:line="520" w:lineRule="exact"/>
              <w:jc w:val="center"/>
              <w:textAlignment w:val="auto"/>
              <w:rPr>
                <w:rStyle w:val="5"/>
                <w:rFonts w:hint="eastAsia" w:ascii="宋体" w:hAnsi="宋体" w:eastAsia="宋体" w:cs="宋体"/>
                <w:b w:val="0"/>
                <w:sz w:val="24"/>
                <w:szCs w:val="24"/>
              </w:rPr>
            </w:pPr>
            <w:r>
              <w:rPr>
                <w:rStyle w:val="5"/>
                <w:rFonts w:hint="eastAsia" w:ascii="宋体" w:hAnsi="宋体" w:eastAsia="宋体" w:cs="宋体"/>
                <w:b w:val="0"/>
                <w:kern w:val="2"/>
                <w:sz w:val="24"/>
                <w:szCs w:val="24"/>
                <w:lang w:val="en-US" w:eastAsia="zh-CN" w:bidi="ar-SA"/>
              </w:rPr>
              <w:t>评审内容</w:t>
            </w:r>
          </w:p>
        </w:tc>
        <w:tc>
          <w:tcPr>
            <w:tcW w:w="783" w:type="dxa"/>
            <w:tcBorders>
              <w:tl2br w:val="nil"/>
              <w:tr2bl w:val="nil"/>
            </w:tcBorders>
            <w:tcMar>
              <w:top w:w="100" w:type="dxa"/>
              <w:bottom w:w="100" w:type="dxa"/>
            </w:tcMar>
            <w:vAlign w:val="center"/>
          </w:tcPr>
          <w:p>
            <w:pPr>
              <w:pStyle w:val="9"/>
              <w:keepNext w:val="0"/>
              <w:keepLines w:val="0"/>
              <w:pageBreakBefore w:val="0"/>
              <w:widowControl/>
              <w:kinsoku/>
              <w:wordWrap/>
              <w:overflowPunct/>
              <w:topLinePunct w:val="0"/>
              <w:autoSpaceDE/>
              <w:autoSpaceDN/>
              <w:bidi w:val="0"/>
              <w:adjustRightInd/>
              <w:snapToGrid/>
              <w:spacing w:line="520" w:lineRule="exact"/>
              <w:jc w:val="center"/>
              <w:textAlignment w:val="auto"/>
              <w:rPr>
                <w:rStyle w:val="5"/>
                <w:rFonts w:hint="eastAsia" w:ascii="宋体" w:hAnsi="宋体" w:eastAsia="宋体" w:cs="宋体"/>
                <w:b w:val="0"/>
                <w:sz w:val="24"/>
                <w:szCs w:val="24"/>
              </w:rPr>
            </w:pPr>
            <w:r>
              <w:rPr>
                <w:rStyle w:val="5"/>
                <w:rFonts w:hint="eastAsia" w:ascii="宋体" w:hAnsi="宋体" w:eastAsia="宋体" w:cs="宋体"/>
                <w:b w:val="0"/>
                <w:kern w:val="2"/>
                <w:sz w:val="24"/>
                <w:szCs w:val="24"/>
                <w:lang w:val="en-US" w:eastAsia="zh-CN" w:bidi="ar-SA"/>
              </w:rPr>
              <w:t>分值</w:t>
            </w:r>
          </w:p>
        </w:tc>
        <w:tc>
          <w:tcPr>
            <w:tcW w:w="6900" w:type="dxa"/>
            <w:tcBorders>
              <w:tl2br w:val="nil"/>
              <w:tr2bl w:val="nil"/>
            </w:tcBorders>
            <w:tcMar>
              <w:top w:w="100" w:type="dxa"/>
              <w:bottom w:w="100" w:type="dxa"/>
            </w:tcMar>
            <w:vAlign w:val="center"/>
          </w:tcPr>
          <w:p>
            <w:pPr>
              <w:pStyle w:val="9"/>
              <w:keepNext w:val="0"/>
              <w:keepLines w:val="0"/>
              <w:pageBreakBefore w:val="0"/>
              <w:widowControl/>
              <w:kinsoku/>
              <w:wordWrap/>
              <w:overflowPunct/>
              <w:topLinePunct w:val="0"/>
              <w:autoSpaceDE/>
              <w:autoSpaceDN/>
              <w:bidi w:val="0"/>
              <w:adjustRightInd/>
              <w:snapToGrid/>
              <w:spacing w:line="520" w:lineRule="exact"/>
              <w:jc w:val="center"/>
              <w:textAlignment w:val="auto"/>
              <w:rPr>
                <w:rStyle w:val="5"/>
                <w:rFonts w:hint="eastAsia" w:ascii="宋体" w:hAnsi="宋体" w:eastAsia="宋体" w:cs="宋体"/>
                <w:b w:val="0"/>
                <w:sz w:val="24"/>
                <w:szCs w:val="24"/>
              </w:rPr>
            </w:pPr>
            <w:r>
              <w:rPr>
                <w:rStyle w:val="5"/>
                <w:rFonts w:hint="eastAsia" w:ascii="宋体" w:hAnsi="宋体" w:eastAsia="宋体" w:cs="宋体"/>
                <w:b w:val="0"/>
                <w:kern w:val="2"/>
                <w:sz w:val="24"/>
                <w:szCs w:val="24"/>
                <w:lang w:val="en-US" w:eastAsia="zh-CN" w:bidi="ar-SA"/>
              </w:rPr>
              <w:t>评分标准</w:t>
            </w:r>
          </w:p>
        </w:tc>
        <w:tc>
          <w:tcPr>
            <w:tcW w:w="774" w:type="dxa"/>
            <w:tcBorders>
              <w:tl2br w:val="nil"/>
              <w:tr2bl w:val="nil"/>
            </w:tcBorders>
            <w:tcMar>
              <w:top w:w="100" w:type="dxa"/>
              <w:bottom w:w="100" w:type="dxa"/>
            </w:tcMar>
            <w:vAlign w:val="center"/>
          </w:tcPr>
          <w:p>
            <w:pPr>
              <w:pStyle w:val="9"/>
              <w:keepNext w:val="0"/>
              <w:keepLines w:val="0"/>
              <w:pageBreakBefore w:val="0"/>
              <w:widowControl/>
              <w:kinsoku/>
              <w:wordWrap/>
              <w:overflowPunct/>
              <w:topLinePunct w:val="0"/>
              <w:autoSpaceDE/>
              <w:autoSpaceDN/>
              <w:bidi w:val="0"/>
              <w:adjustRightInd/>
              <w:snapToGrid/>
              <w:spacing w:line="520" w:lineRule="exact"/>
              <w:jc w:val="center"/>
              <w:textAlignment w:val="auto"/>
              <w:rPr>
                <w:rStyle w:val="5"/>
                <w:rFonts w:hint="eastAsia" w:ascii="宋体" w:hAnsi="宋体" w:eastAsia="宋体" w:cs="宋体"/>
                <w:b w:val="0"/>
                <w:kern w:val="2"/>
                <w:sz w:val="24"/>
                <w:szCs w:val="24"/>
                <w:lang w:val="en-US" w:eastAsia="zh-CN" w:bidi="ar-SA"/>
              </w:rPr>
            </w:pPr>
            <w:r>
              <w:rPr>
                <w:rStyle w:val="5"/>
                <w:rFonts w:hint="eastAsia" w:ascii="宋体" w:hAnsi="宋体" w:eastAsia="宋体" w:cs="宋体"/>
                <w:b w:val="0"/>
                <w:kern w:val="2"/>
                <w:sz w:val="24"/>
                <w:szCs w:val="24"/>
                <w:lang w:val="en-US" w:eastAsia="zh-CN" w:bidi="ar-SA"/>
              </w:rPr>
              <w:t>得分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Ex>
        <w:trPr>
          <w:jc w:val="center"/>
        </w:trPr>
        <w:tc>
          <w:tcPr>
            <w:tcW w:w="1291" w:type="dxa"/>
            <w:tcBorders>
              <w:tl2br w:val="nil"/>
              <w:tr2bl w:val="nil"/>
            </w:tcBorders>
            <w:tcMar>
              <w:top w:w="100" w:type="dxa"/>
              <w:bottom w:w="100" w:type="dxa"/>
            </w:tcMar>
            <w:vAlign w:val="center"/>
          </w:tcPr>
          <w:p>
            <w:pPr>
              <w:pStyle w:val="9"/>
              <w:keepNext w:val="0"/>
              <w:keepLines w:val="0"/>
              <w:pageBreakBefore w:val="0"/>
              <w:widowControl/>
              <w:kinsoku/>
              <w:wordWrap/>
              <w:overflowPunct/>
              <w:topLinePunct w:val="0"/>
              <w:autoSpaceDE/>
              <w:autoSpaceDN/>
              <w:bidi w:val="0"/>
              <w:adjustRightInd/>
              <w:snapToGrid/>
              <w:spacing w:line="600" w:lineRule="exact"/>
              <w:jc w:val="center"/>
              <w:textAlignment w:val="auto"/>
              <w:rPr>
                <w:rStyle w:val="5"/>
                <w:rFonts w:hint="eastAsia" w:ascii="宋体" w:hAnsi="宋体" w:eastAsia="宋体" w:cs="宋体"/>
                <w:b w:val="0"/>
                <w:kern w:val="2"/>
                <w:sz w:val="24"/>
                <w:szCs w:val="24"/>
                <w:lang w:val="en-US" w:eastAsia="zh-CN" w:bidi="ar-SA"/>
              </w:rPr>
            </w:pPr>
            <w:r>
              <w:rPr>
                <w:rStyle w:val="5"/>
                <w:rFonts w:hint="eastAsia" w:ascii="宋体" w:hAnsi="宋体" w:eastAsia="宋体" w:cs="宋体"/>
                <w:b w:val="0"/>
                <w:kern w:val="2"/>
                <w:sz w:val="24"/>
                <w:szCs w:val="24"/>
                <w:lang w:val="en-US" w:eastAsia="zh-CN" w:bidi="ar-SA"/>
              </w:rPr>
              <w:t>价格部分</w:t>
            </w:r>
          </w:p>
          <w:p>
            <w:pPr>
              <w:pStyle w:val="9"/>
              <w:keepNext w:val="0"/>
              <w:keepLines w:val="0"/>
              <w:pageBreakBefore w:val="0"/>
              <w:widowControl/>
              <w:kinsoku/>
              <w:wordWrap/>
              <w:overflowPunct/>
              <w:topLinePunct w:val="0"/>
              <w:autoSpaceDE/>
              <w:autoSpaceDN/>
              <w:bidi w:val="0"/>
              <w:adjustRightInd/>
              <w:snapToGrid/>
              <w:spacing w:line="600" w:lineRule="exact"/>
              <w:jc w:val="both"/>
              <w:textAlignment w:val="auto"/>
              <w:rPr>
                <w:rStyle w:val="5"/>
                <w:rFonts w:hint="eastAsia" w:ascii="宋体" w:hAnsi="宋体" w:eastAsia="宋体" w:cs="宋体"/>
                <w:b w:val="0"/>
                <w:sz w:val="24"/>
                <w:szCs w:val="24"/>
                <w:lang w:eastAsia="zh-CN"/>
              </w:rPr>
            </w:pPr>
            <w:r>
              <w:rPr>
                <w:rStyle w:val="5"/>
                <w:rFonts w:hint="eastAsia" w:ascii="宋体" w:hAnsi="宋体" w:cs="宋体"/>
                <w:b w:val="0"/>
                <w:kern w:val="2"/>
                <w:sz w:val="24"/>
                <w:szCs w:val="24"/>
                <w:lang w:val="en-US" w:eastAsia="zh-CN" w:bidi="ar-SA"/>
              </w:rPr>
              <w:t>（10分）</w:t>
            </w:r>
          </w:p>
        </w:tc>
        <w:tc>
          <w:tcPr>
            <w:tcW w:w="1217" w:type="dxa"/>
            <w:tcBorders>
              <w:tl2br w:val="nil"/>
              <w:tr2bl w:val="nil"/>
            </w:tcBorders>
            <w:tcMar>
              <w:top w:w="100" w:type="dxa"/>
              <w:bottom w:w="100" w:type="dxa"/>
            </w:tcMar>
            <w:vAlign w:val="center"/>
          </w:tcPr>
          <w:p>
            <w:pPr>
              <w:pStyle w:val="9"/>
              <w:keepNext w:val="0"/>
              <w:keepLines w:val="0"/>
              <w:pageBreakBefore w:val="0"/>
              <w:widowControl/>
              <w:kinsoku/>
              <w:wordWrap/>
              <w:overflowPunct/>
              <w:topLinePunct w:val="0"/>
              <w:autoSpaceDE/>
              <w:autoSpaceDN/>
              <w:bidi w:val="0"/>
              <w:adjustRightInd/>
              <w:snapToGrid/>
              <w:spacing w:line="600" w:lineRule="exact"/>
              <w:jc w:val="center"/>
              <w:textAlignment w:val="auto"/>
              <w:rPr>
                <w:rStyle w:val="5"/>
                <w:rFonts w:hint="eastAsia" w:ascii="宋体" w:hAnsi="宋体" w:eastAsia="宋体" w:cs="宋体"/>
                <w:b w:val="0"/>
                <w:sz w:val="24"/>
                <w:szCs w:val="24"/>
              </w:rPr>
            </w:pPr>
            <w:r>
              <w:rPr>
                <w:rStyle w:val="5"/>
                <w:rFonts w:hint="eastAsia" w:ascii="宋体" w:hAnsi="宋体" w:eastAsia="宋体" w:cs="宋体"/>
                <w:b w:val="0"/>
                <w:kern w:val="2"/>
                <w:sz w:val="24"/>
                <w:szCs w:val="24"/>
                <w:lang w:val="en-US" w:eastAsia="zh-CN" w:bidi="ar-SA"/>
              </w:rPr>
              <w:t>投标报价</w:t>
            </w:r>
          </w:p>
        </w:tc>
        <w:tc>
          <w:tcPr>
            <w:tcW w:w="783" w:type="dxa"/>
            <w:tcBorders>
              <w:tl2br w:val="nil"/>
              <w:tr2bl w:val="nil"/>
            </w:tcBorders>
            <w:tcMar>
              <w:top w:w="100" w:type="dxa"/>
              <w:bottom w:w="100" w:type="dxa"/>
            </w:tcMar>
            <w:vAlign w:val="center"/>
          </w:tcPr>
          <w:p>
            <w:pPr>
              <w:pStyle w:val="9"/>
              <w:keepNext w:val="0"/>
              <w:keepLines w:val="0"/>
              <w:pageBreakBefore w:val="0"/>
              <w:widowControl/>
              <w:kinsoku/>
              <w:wordWrap/>
              <w:overflowPunct/>
              <w:topLinePunct w:val="0"/>
              <w:autoSpaceDE/>
              <w:autoSpaceDN/>
              <w:bidi w:val="0"/>
              <w:adjustRightInd/>
              <w:snapToGrid/>
              <w:spacing w:line="600" w:lineRule="exact"/>
              <w:jc w:val="center"/>
              <w:textAlignment w:val="auto"/>
              <w:rPr>
                <w:rStyle w:val="5"/>
                <w:rFonts w:hint="eastAsia" w:ascii="宋体" w:hAnsi="宋体" w:eastAsia="宋体" w:cs="宋体"/>
                <w:b w:val="0"/>
                <w:sz w:val="24"/>
                <w:szCs w:val="24"/>
              </w:rPr>
            </w:pPr>
            <w:r>
              <w:rPr>
                <w:rStyle w:val="5"/>
                <w:rFonts w:hint="eastAsia" w:ascii="宋体" w:hAnsi="宋体" w:eastAsia="宋体" w:cs="宋体"/>
                <w:b w:val="0"/>
                <w:kern w:val="2"/>
                <w:sz w:val="24"/>
                <w:szCs w:val="24"/>
                <w:lang w:val="en-US" w:eastAsia="zh-CN" w:bidi="ar-SA"/>
              </w:rPr>
              <w:t>10</w:t>
            </w:r>
          </w:p>
        </w:tc>
        <w:tc>
          <w:tcPr>
            <w:tcW w:w="6900" w:type="dxa"/>
            <w:tcBorders>
              <w:tl2br w:val="nil"/>
              <w:tr2bl w:val="nil"/>
            </w:tcBorders>
            <w:tcMar>
              <w:top w:w="100" w:type="dxa"/>
              <w:bottom w:w="100" w:type="dxa"/>
            </w:tcMar>
            <w:vAlign w:val="center"/>
          </w:tcPr>
          <w:p>
            <w:pPr>
              <w:pStyle w:val="9"/>
              <w:keepNext w:val="0"/>
              <w:keepLines w:val="0"/>
              <w:pageBreakBefore w:val="0"/>
              <w:widowControl/>
              <w:kinsoku/>
              <w:wordWrap/>
              <w:overflowPunct/>
              <w:topLinePunct w:val="0"/>
              <w:autoSpaceDE/>
              <w:autoSpaceDN/>
              <w:bidi w:val="0"/>
              <w:adjustRightInd/>
              <w:snapToGrid/>
              <w:spacing w:line="600" w:lineRule="exact"/>
              <w:jc w:val="left"/>
              <w:textAlignment w:val="auto"/>
              <w:rPr>
                <w:rStyle w:val="5"/>
                <w:rFonts w:hint="eastAsia" w:ascii="宋体" w:hAnsi="宋体" w:eastAsia="宋体" w:cs="宋体"/>
                <w:b w:val="0"/>
                <w:sz w:val="24"/>
                <w:szCs w:val="24"/>
              </w:rPr>
            </w:pPr>
            <w:r>
              <w:rPr>
                <w:rStyle w:val="5"/>
                <w:rFonts w:hint="eastAsia" w:ascii="宋体" w:hAnsi="宋体" w:eastAsia="宋体" w:cs="宋体"/>
                <w:b w:val="0"/>
                <w:kern w:val="2"/>
                <w:sz w:val="24"/>
                <w:szCs w:val="24"/>
                <w:lang w:val="en-US" w:eastAsia="zh-CN" w:bidi="ar-SA"/>
              </w:rPr>
              <w:t>满足招标文件要求且投标报价中最低的投标报价为评标基准价其价格分为满分；其他投标人的价格分统一按照以下公式计算：</w:t>
            </w:r>
          </w:p>
          <w:p>
            <w:pPr>
              <w:pStyle w:val="9"/>
              <w:keepNext w:val="0"/>
              <w:keepLines w:val="0"/>
              <w:pageBreakBefore w:val="0"/>
              <w:widowControl/>
              <w:kinsoku/>
              <w:wordWrap/>
              <w:overflowPunct/>
              <w:topLinePunct w:val="0"/>
              <w:autoSpaceDE/>
              <w:autoSpaceDN/>
              <w:bidi w:val="0"/>
              <w:adjustRightInd/>
              <w:snapToGrid/>
              <w:spacing w:line="600" w:lineRule="exact"/>
              <w:jc w:val="left"/>
              <w:textAlignment w:val="auto"/>
              <w:rPr>
                <w:rStyle w:val="5"/>
                <w:rFonts w:hint="eastAsia" w:ascii="宋体" w:hAnsi="宋体" w:eastAsia="宋体" w:cs="宋体"/>
                <w:b w:val="0"/>
                <w:sz w:val="24"/>
                <w:szCs w:val="24"/>
              </w:rPr>
            </w:pPr>
            <w:r>
              <w:rPr>
                <w:rStyle w:val="5"/>
                <w:rFonts w:hint="eastAsia" w:ascii="宋体" w:hAnsi="宋体" w:eastAsia="宋体" w:cs="宋体"/>
                <w:b w:val="0"/>
                <w:kern w:val="2"/>
                <w:sz w:val="24"/>
                <w:szCs w:val="24"/>
                <w:lang w:val="en-US" w:eastAsia="zh-CN" w:bidi="ar-SA"/>
              </w:rPr>
              <w:t>投标报价得分=（评标基准价/投标报价）×10%×100</w:t>
            </w:r>
          </w:p>
          <w:p>
            <w:pPr>
              <w:pStyle w:val="9"/>
              <w:keepNext w:val="0"/>
              <w:keepLines w:val="0"/>
              <w:pageBreakBefore w:val="0"/>
              <w:widowControl/>
              <w:kinsoku/>
              <w:wordWrap/>
              <w:overflowPunct/>
              <w:topLinePunct w:val="0"/>
              <w:autoSpaceDE/>
              <w:autoSpaceDN/>
              <w:bidi w:val="0"/>
              <w:adjustRightInd/>
              <w:snapToGrid/>
              <w:spacing w:line="600" w:lineRule="exact"/>
              <w:jc w:val="left"/>
              <w:textAlignment w:val="auto"/>
              <w:rPr>
                <w:rStyle w:val="5"/>
                <w:rFonts w:hint="eastAsia" w:ascii="宋体" w:hAnsi="宋体" w:eastAsia="宋体" w:cs="宋体"/>
                <w:b w:val="0"/>
                <w:sz w:val="24"/>
                <w:szCs w:val="24"/>
              </w:rPr>
            </w:pPr>
            <w:r>
              <w:rPr>
                <w:rStyle w:val="5"/>
                <w:rFonts w:hint="eastAsia" w:ascii="宋体" w:hAnsi="宋体" w:eastAsia="宋体" w:cs="宋体"/>
                <w:b w:val="0"/>
                <w:kern w:val="2"/>
                <w:sz w:val="24"/>
                <w:szCs w:val="24"/>
                <w:lang w:val="en-US" w:eastAsia="zh-CN" w:bidi="ar-SA"/>
              </w:rPr>
              <w:t>备注：如果在评标过程中，评标小组发现投标人的投标报价明显低于其他通过符合性审查投标人的综合报价或者有理由怀疑其投标综合报价可能低于其成本的，将要求该投标人在收到通知的规定时间内提供相关证明材料。投标人在规定的时间内不能提供相关证明材料的，视作该投标人以低于成本报价投标，其投标文件应作无效投标处理。</w:t>
            </w:r>
          </w:p>
        </w:tc>
        <w:tc>
          <w:tcPr>
            <w:tcW w:w="774" w:type="dxa"/>
            <w:tcBorders>
              <w:tl2br w:val="nil"/>
              <w:tr2bl w:val="nil"/>
            </w:tcBorders>
            <w:tcMar>
              <w:top w:w="100" w:type="dxa"/>
              <w:bottom w:w="100" w:type="dxa"/>
            </w:tcMar>
            <w:vAlign w:val="center"/>
          </w:tcPr>
          <w:p>
            <w:pPr>
              <w:pStyle w:val="9"/>
              <w:keepNext w:val="0"/>
              <w:keepLines w:val="0"/>
              <w:pageBreakBefore w:val="0"/>
              <w:widowControl/>
              <w:kinsoku/>
              <w:wordWrap/>
              <w:overflowPunct/>
              <w:topLinePunct w:val="0"/>
              <w:autoSpaceDE/>
              <w:autoSpaceDN/>
              <w:bidi w:val="0"/>
              <w:adjustRightInd/>
              <w:snapToGrid/>
              <w:spacing w:line="600" w:lineRule="exact"/>
              <w:jc w:val="left"/>
              <w:textAlignment w:val="auto"/>
              <w:rPr>
                <w:rStyle w:val="5"/>
                <w:rFonts w:hint="eastAsia" w:ascii="宋体" w:hAnsi="宋体" w:eastAsia="宋体" w:cs="宋体"/>
                <w:b w:val="0"/>
                <w:kern w:val="2"/>
                <w:sz w:val="24"/>
                <w:szCs w:val="24"/>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Ex>
        <w:trPr>
          <w:trHeight w:val="90" w:hRule="atLeast"/>
          <w:jc w:val="center"/>
        </w:trPr>
        <w:tc>
          <w:tcPr>
            <w:tcW w:w="1291" w:type="dxa"/>
            <w:vMerge w:val="restart"/>
            <w:tcBorders>
              <w:tl2br w:val="nil"/>
              <w:tr2bl w:val="nil"/>
            </w:tcBorders>
            <w:tcMar>
              <w:top w:w="100" w:type="dxa"/>
              <w:bottom w:w="100" w:type="dxa"/>
            </w:tcMar>
            <w:vAlign w:val="center"/>
          </w:tcPr>
          <w:p>
            <w:pPr>
              <w:pStyle w:val="9"/>
              <w:keepNext w:val="0"/>
              <w:keepLines w:val="0"/>
              <w:pageBreakBefore w:val="0"/>
              <w:widowControl/>
              <w:kinsoku/>
              <w:wordWrap/>
              <w:overflowPunct/>
              <w:topLinePunct w:val="0"/>
              <w:autoSpaceDE/>
              <w:autoSpaceDN/>
              <w:bidi w:val="0"/>
              <w:adjustRightInd/>
              <w:snapToGrid/>
              <w:spacing w:line="600" w:lineRule="exact"/>
              <w:jc w:val="center"/>
              <w:textAlignment w:val="auto"/>
              <w:rPr>
                <w:rStyle w:val="5"/>
                <w:rFonts w:hint="eastAsia" w:ascii="宋体" w:hAnsi="宋体" w:eastAsia="宋体" w:cs="宋体"/>
                <w:b w:val="0"/>
                <w:sz w:val="24"/>
                <w:szCs w:val="24"/>
                <w:lang w:eastAsia="zh-CN"/>
              </w:rPr>
            </w:pPr>
            <w:r>
              <w:rPr>
                <w:rStyle w:val="5"/>
                <w:rFonts w:hint="eastAsia" w:ascii="宋体" w:hAnsi="宋体" w:eastAsia="宋体" w:cs="宋体"/>
                <w:b w:val="0"/>
                <w:kern w:val="2"/>
                <w:sz w:val="24"/>
                <w:szCs w:val="24"/>
                <w:lang w:val="en-US" w:eastAsia="zh-CN" w:bidi="ar-SA"/>
              </w:rPr>
              <w:t>技术部分（6</w:t>
            </w:r>
            <w:r>
              <w:rPr>
                <w:rStyle w:val="5"/>
                <w:rFonts w:hint="eastAsia" w:ascii="宋体" w:hAnsi="宋体" w:cs="宋体"/>
                <w:b w:val="0"/>
                <w:kern w:val="2"/>
                <w:sz w:val="24"/>
                <w:szCs w:val="24"/>
                <w:lang w:val="en-US" w:eastAsia="zh-CN" w:bidi="ar-SA"/>
              </w:rPr>
              <w:t>0</w:t>
            </w:r>
            <w:r>
              <w:rPr>
                <w:rStyle w:val="5"/>
                <w:rFonts w:hint="eastAsia" w:ascii="宋体" w:hAnsi="宋体" w:eastAsia="宋体" w:cs="宋体"/>
                <w:b w:val="0"/>
                <w:kern w:val="2"/>
                <w:sz w:val="24"/>
                <w:szCs w:val="24"/>
                <w:lang w:val="en-US" w:eastAsia="zh-CN" w:bidi="ar-SA"/>
              </w:rPr>
              <w:t>分）</w:t>
            </w:r>
          </w:p>
        </w:tc>
        <w:tc>
          <w:tcPr>
            <w:tcW w:w="1217" w:type="dxa"/>
            <w:tcBorders>
              <w:tl2br w:val="nil"/>
              <w:tr2bl w:val="nil"/>
            </w:tcBorders>
            <w:tcMar>
              <w:top w:w="100" w:type="dxa"/>
              <w:bottom w:w="10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240" w:hanging="240" w:hangingChars="100"/>
              <w:jc w:val="left"/>
              <w:textAlignment w:val="auto"/>
              <w:rPr>
                <w:rStyle w:val="5"/>
                <w:rFonts w:hint="eastAsia" w:ascii="宋体" w:hAnsi="宋体" w:eastAsia="宋体" w:cs="宋体"/>
                <w:b w:val="0"/>
                <w:sz w:val="24"/>
                <w:szCs w:val="24"/>
              </w:rPr>
            </w:pPr>
            <w:r>
              <w:rPr>
                <w:rFonts w:hint="eastAsia" w:ascii="宋体" w:hAnsi="宋体" w:eastAsia="宋体" w:cs="宋体"/>
                <w:color w:val="000000"/>
                <w:kern w:val="0"/>
                <w:sz w:val="24"/>
                <w:szCs w:val="24"/>
                <w:lang w:val="en-US" w:eastAsia="zh-CN" w:bidi="ar"/>
              </w:rPr>
              <w:t>项目服务方案</w:t>
            </w:r>
          </w:p>
        </w:tc>
        <w:tc>
          <w:tcPr>
            <w:tcW w:w="783" w:type="dxa"/>
            <w:tcBorders>
              <w:tl2br w:val="nil"/>
              <w:tr2bl w:val="nil"/>
            </w:tcBorders>
            <w:tcMar>
              <w:top w:w="100" w:type="dxa"/>
              <w:bottom w:w="100" w:type="dxa"/>
            </w:tcMar>
            <w:vAlign w:val="center"/>
          </w:tcPr>
          <w:p>
            <w:pPr>
              <w:pStyle w:val="9"/>
              <w:keepNext w:val="0"/>
              <w:keepLines w:val="0"/>
              <w:pageBreakBefore w:val="0"/>
              <w:widowControl/>
              <w:kinsoku/>
              <w:wordWrap/>
              <w:overflowPunct/>
              <w:topLinePunct w:val="0"/>
              <w:autoSpaceDE/>
              <w:autoSpaceDN/>
              <w:bidi w:val="0"/>
              <w:adjustRightInd/>
              <w:snapToGrid/>
              <w:spacing w:line="600" w:lineRule="exact"/>
              <w:jc w:val="center"/>
              <w:textAlignment w:val="auto"/>
              <w:rPr>
                <w:rStyle w:val="5"/>
                <w:rFonts w:hint="default" w:ascii="宋体" w:hAnsi="宋体" w:eastAsia="宋体" w:cs="宋体"/>
                <w:b w:val="0"/>
                <w:sz w:val="24"/>
                <w:szCs w:val="24"/>
                <w:lang w:val="en-US" w:eastAsia="zh-CN"/>
              </w:rPr>
            </w:pPr>
            <w:r>
              <w:rPr>
                <w:rStyle w:val="5"/>
                <w:rFonts w:hint="eastAsia" w:ascii="宋体" w:hAnsi="宋体" w:cs="宋体"/>
                <w:b w:val="0"/>
                <w:sz w:val="24"/>
                <w:szCs w:val="24"/>
                <w:lang w:val="en-US" w:eastAsia="zh-CN"/>
              </w:rPr>
              <w:t>10</w:t>
            </w:r>
          </w:p>
        </w:tc>
        <w:tc>
          <w:tcPr>
            <w:tcW w:w="6900" w:type="dxa"/>
            <w:tcBorders>
              <w:tl2br w:val="nil"/>
              <w:tr2bl w:val="nil"/>
            </w:tcBorders>
            <w:tcMar>
              <w:top w:w="100" w:type="dxa"/>
              <w:bottom w:w="100" w:type="dxa"/>
            </w:tcMar>
            <w:vAlign w:val="center"/>
          </w:tcPr>
          <w:p>
            <w:pPr>
              <w:keepNext w:val="0"/>
              <w:keepLines w:val="0"/>
              <w:pageBreakBefore w:val="0"/>
              <w:widowControl/>
              <w:suppressLineNumbers w:val="0"/>
              <w:kinsoku/>
              <w:wordWrap/>
              <w:overflowPunct/>
              <w:topLinePunct w:val="0"/>
              <w:bidi w:val="0"/>
              <w:adjustRightInd/>
              <w:snapToGrid/>
              <w:spacing w:line="600" w:lineRule="exact"/>
              <w:jc w:val="left"/>
              <w:textAlignment w:val="auto"/>
              <w:rPr>
                <w:rStyle w:val="5"/>
                <w:rFonts w:hint="eastAsia" w:ascii="宋体" w:hAnsi="宋体" w:eastAsia="宋体" w:cs="宋体"/>
                <w:b w:val="0"/>
                <w:sz w:val="24"/>
                <w:szCs w:val="24"/>
              </w:rPr>
            </w:pPr>
            <w:r>
              <w:rPr>
                <w:rFonts w:hint="eastAsia" w:ascii="宋体" w:hAnsi="宋体" w:eastAsia="宋体" w:cs="宋体"/>
                <w:sz w:val="24"/>
                <w:szCs w:val="24"/>
              </w:rPr>
              <w:t>供应商针对本项目的特点</w:t>
            </w:r>
            <w:r>
              <w:rPr>
                <w:rFonts w:hint="eastAsia" w:ascii="宋体" w:hAnsi="宋体" w:eastAsia="宋体" w:cs="宋体"/>
                <w:sz w:val="24"/>
                <w:szCs w:val="24"/>
                <w:lang w:eastAsia="zh-CN"/>
              </w:rPr>
              <w:t>，</w:t>
            </w:r>
            <w:r>
              <w:rPr>
                <w:rFonts w:hint="eastAsia" w:ascii="宋体" w:hAnsi="宋体" w:eastAsia="宋体" w:cs="宋体"/>
                <w:kern w:val="0"/>
                <w:sz w:val="24"/>
                <w:szCs w:val="24"/>
                <w:lang w:val="en-US" w:eastAsia="zh-CN" w:bidi="ar"/>
              </w:rPr>
              <w:t>方案完整详实，包含勘测、制作、安装、验收全流程，流程清晰、分工明确、贴合古籍保护规范，得10分；方案基本完整、流程可行，得8分；方案简略、流程缺失，得6分；无方案不得分。</w:t>
            </w:r>
          </w:p>
        </w:tc>
        <w:tc>
          <w:tcPr>
            <w:tcW w:w="774" w:type="dxa"/>
            <w:tcBorders>
              <w:tl2br w:val="nil"/>
              <w:tr2bl w:val="nil"/>
            </w:tcBorders>
            <w:tcMar>
              <w:top w:w="100" w:type="dxa"/>
              <w:bottom w:w="100" w:type="dxa"/>
            </w:tcMar>
            <w:vAlign w:val="center"/>
          </w:tcPr>
          <w:p>
            <w:pPr>
              <w:keepNext w:val="0"/>
              <w:keepLines w:val="0"/>
              <w:pageBreakBefore w:val="0"/>
              <w:widowControl/>
              <w:suppressLineNumbers w:val="0"/>
              <w:kinsoku/>
              <w:wordWrap/>
              <w:overflowPunct/>
              <w:topLinePunct w:val="0"/>
              <w:bidi w:val="0"/>
              <w:adjustRightInd/>
              <w:snapToGrid/>
              <w:spacing w:line="600" w:lineRule="exact"/>
              <w:jc w:val="left"/>
              <w:textAlignment w:val="auto"/>
              <w:rPr>
                <w:rFonts w:hint="eastAsia" w:ascii="宋体" w:hAnsi="宋体" w:eastAsia="宋体" w:cs="宋体"/>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Ex>
        <w:trPr>
          <w:trHeight w:val="90" w:hRule="atLeast"/>
          <w:jc w:val="center"/>
        </w:trPr>
        <w:tc>
          <w:tcPr>
            <w:tcW w:w="1291" w:type="dxa"/>
            <w:vMerge w:val="continue"/>
            <w:tcBorders>
              <w:tl2br w:val="nil"/>
              <w:tr2bl w:val="nil"/>
            </w:tcBorders>
            <w:tcMar>
              <w:top w:w="100" w:type="dxa"/>
              <w:bottom w:w="100" w:type="dxa"/>
            </w:tcMar>
            <w:vAlign w:val="center"/>
          </w:tcPr>
          <w:p>
            <w:pPr>
              <w:pStyle w:val="9"/>
              <w:keepNext w:val="0"/>
              <w:keepLines w:val="0"/>
              <w:pageBreakBefore w:val="0"/>
              <w:widowControl/>
              <w:kinsoku/>
              <w:wordWrap/>
              <w:overflowPunct/>
              <w:topLinePunct w:val="0"/>
              <w:autoSpaceDE/>
              <w:autoSpaceDN/>
              <w:bidi w:val="0"/>
              <w:adjustRightInd/>
              <w:snapToGrid/>
              <w:spacing w:line="600" w:lineRule="exact"/>
              <w:jc w:val="center"/>
              <w:textAlignment w:val="auto"/>
              <w:rPr>
                <w:rStyle w:val="5"/>
                <w:rFonts w:hint="eastAsia" w:ascii="宋体" w:hAnsi="宋体" w:eastAsia="宋体" w:cs="宋体"/>
                <w:b w:val="0"/>
                <w:kern w:val="2"/>
                <w:sz w:val="24"/>
                <w:szCs w:val="24"/>
                <w:lang w:val="en-US" w:eastAsia="zh-CN" w:bidi="ar-SA"/>
              </w:rPr>
            </w:pPr>
          </w:p>
        </w:tc>
        <w:tc>
          <w:tcPr>
            <w:tcW w:w="1217" w:type="dxa"/>
            <w:tcBorders>
              <w:tl2br w:val="nil"/>
              <w:tr2bl w:val="nil"/>
            </w:tcBorders>
            <w:tcMar>
              <w:top w:w="100" w:type="dxa"/>
              <w:bottom w:w="100" w:type="dxa"/>
            </w:tcMar>
            <w:vAlign w:val="center"/>
          </w:tcPr>
          <w:p>
            <w:pPr>
              <w:keepNext w:val="0"/>
              <w:keepLines w:val="0"/>
              <w:pageBreakBefore w:val="0"/>
              <w:widowControl/>
              <w:suppressLineNumbers w:val="0"/>
              <w:kinsoku/>
              <w:wordWrap/>
              <w:overflowPunct/>
              <w:topLinePunct w:val="0"/>
              <w:bidi w:val="0"/>
              <w:adjustRightInd/>
              <w:snapToGrid/>
              <w:spacing w:line="600" w:lineRule="exact"/>
              <w:ind w:left="240" w:hanging="240" w:hangingChars="100"/>
              <w:jc w:val="left"/>
              <w:textAlignment w:val="auto"/>
              <w:rPr>
                <w:rStyle w:val="5"/>
                <w:rFonts w:hint="eastAsia" w:ascii="宋体" w:hAnsi="宋体" w:eastAsia="宋体" w:cs="宋体"/>
                <w:b w:val="0"/>
                <w:sz w:val="24"/>
                <w:szCs w:val="24"/>
              </w:rPr>
            </w:pPr>
            <w:r>
              <w:rPr>
                <w:rStyle w:val="6"/>
                <w:rFonts w:hint="eastAsia" w:ascii="宋体" w:hAnsi="宋体" w:eastAsia="宋体" w:cs="宋体"/>
                <w:b w:val="0"/>
                <w:bCs/>
                <w:kern w:val="0"/>
                <w:sz w:val="24"/>
                <w:szCs w:val="24"/>
                <w:lang w:val="en-US" w:eastAsia="zh-CN" w:bidi="ar"/>
              </w:rPr>
              <w:t>材质工艺标准</w:t>
            </w:r>
          </w:p>
        </w:tc>
        <w:tc>
          <w:tcPr>
            <w:tcW w:w="783" w:type="dxa"/>
            <w:tcBorders>
              <w:tl2br w:val="nil"/>
              <w:tr2bl w:val="nil"/>
            </w:tcBorders>
            <w:tcMar>
              <w:top w:w="100" w:type="dxa"/>
              <w:bottom w:w="100" w:type="dxa"/>
            </w:tcMar>
            <w:vAlign w:val="center"/>
          </w:tcPr>
          <w:p>
            <w:pPr>
              <w:pStyle w:val="9"/>
              <w:keepNext w:val="0"/>
              <w:keepLines w:val="0"/>
              <w:pageBreakBefore w:val="0"/>
              <w:widowControl/>
              <w:kinsoku/>
              <w:wordWrap/>
              <w:overflowPunct/>
              <w:topLinePunct w:val="0"/>
              <w:autoSpaceDE/>
              <w:autoSpaceDN/>
              <w:bidi w:val="0"/>
              <w:adjustRightInd/>
              <w:snapToGrid/>
              <w:spacing w:line="600" w:lineRule="exact"/>
              <w:jc w:val="center"/>
              <w:textAlignment w:val="auto"/>
              <w:rPr>
                <w:rStyle w:val="5"/>
                <w:rFonts w:hint="default" w:ascii="宋体" w:hAnsi="宋体" w:eastAsia="宋体" w:cs="宋体"/>
                <w:b w:val="0"/>
                <w:kern w:val="2"/>
                <w:sz w:val="24"/>
                <w:szCs w:val="24"/>
                <w:lang w:val="en-US" w:eastAsia="zh-CN" w:bidi="ar-SA"/>
              </w:rPr>
            </w:pPr>
            <w:r>
              <w:rPr>
                <w:rStyle w:val="5"/>
                <w:rFonts w:hint="eastAsia" w:ascii="宋体" w:hAnsi="宋体" w:cs="宋体"/>
                <w:b w:val="0"/>
                <w:kern w:val="2"/>
                <w:sz w:val="24"/>
                <w:szCs w:val="24"/>
                <w:lang w:val="en-US" w:eastAsia="zh-CN" w:bidi="ar-SA"/>
              </w:rPr>
              <w:t>10</w:t>
            </w:r>
          </w:p>
        </w:tc>
        <w:tc>
          <w:tcPr>
            <w:tcW w:w="6900" w:type="dxa"/>
            <w:tcBorders>
              <w:tl2br w:val="nil"/>
              <w:tr2bl w:val="nil"/>
            </w:tcBorders>
            <w:tcMar>
              <w:top w:w="100" w:type="dxa"/>
              <w:bottom w:w="100" w:type="dxa"/>
            </w:tcMar>
            <w:vAlign w:val="center"/>
          </w:tcPr>
          <w:p>
            <w:pPr>
              <w:keepNext w:val="0"/>
              <w:keepLines w:val="0"/>
              <w:pageBreakBefore w:val="0"/>
              <w:widowControl/>
              <w:suppressLineNumbers w:val="0"/>
              <w:kinsoku/>
              <w:wordWrap/>
              <w:overflowPunct/>
              <w:topLinePunct w:val="0"/>
              <w:bidi w:val="0"/>
              <w:adjustRightInd/>
              <w:snapToGrid/>
              <w:spacing w:line="6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供应商</w:t>
            </w:r>
            <w:r>
              <w:rPr>
                <w:rFonts w:hint="eastAsia" w:ascii="宋体" w:hAnsi="宋体" w:eastAsia="宋体" w:cs="宋体"/>
                <w:color w:val="auto"/>
                <w:kern w:val="0"/>
                <w:sz w:val="24"/>
                <w:szCs w:val="24"/>
                <w:lang w:val="en-US" w:eastAsia="zh-CN"/>
              </w:rPr>
              <w:t>提供的</w:t>
            </w:r>
            <w:r>
              <w:rPr>
                <w:rFonts w:hint="eastAsia" w:ascii="宋体" w:hAnsi="宋体" w:eastAsia="宋体" w:cs="宋体"/>
                <w:color w:val="auto"/>
                <w:kern w:val="0"/>
                <w:sz w:val="24"/>
                <w:szCs w:val="24"/>
                <w:lang w:val="en-US" w:eastAsia="zh-CN" w:bidi="ar-SA"/>
              </w:rPr>
              <w:t>项目</w:t>
            </w:r>
            <w:r>
              <w:rPr>
                <w:rFonts w:hint="eastAsia" w:ascii="宋体" w:hAnsi="宋体" w:eastAsia="宋体" w:cs="宋体"/>
                <w:kern w:val="0"/>
                <w:sz w:val="24"/>
                <w:szCs w:val="24"/>
                <w:lang w:val="en-US" w:eastAsia="zh-CN" w:bidi="ar"/>
              </w:rPr>
              <w:t>完全响应国标及采购材质要求，提供原材料检测报告（报告包含材质无酸化、环保达标等内容）得10分；基本响应要求，资料齐全，得8分；部分响应、资料缺失，得4分；不响应核心材质标准不得分</w:t>
            </w:r>
          </w:p>
        </w:tc>
        <w:tc>
          <w:tcPr>
            <w:tcW w:w="774" w:type="dxa"/>
            <w:tcBorders>
              <w:tl2br w:val="nil"/>
              <w:tr2bl w:val="nil"/>
            </w:tcBorders>
            <w:tcMar>
              <w:top w:w="100" w:type="dxa"/>
              <w:bottom w:w="100" w:type="dxa"/>
            </w:tcMar>
            <w:vAlign w:val="center"/>
          </w:tcPr>
          <w:p>
            <w:pPr>
              <w:keepNext w:val="0"/>
              <w:keepLines w:val="0"/>
              <w:pageBreakBefore w:val="0"/>
              <w:widowControl/>
              <w:suppressLineNumbers w:val="0"/>
              <w:kinsoku/>
              <w:wordWrap/>
              <w:overflowPunct/>
              <w:topLinePunct w:val="0"/>
              <w:bidi w:val="0"/>
              <w:adjustRightInd/>
              <w:snapToGrid/>
              <w:spacing w:line="600" w:lineRule="exact"/>
              <w:jc w:val="left"/>
              <w:textAlignment w:val="auto"/>
              <w:rPr>
                <w:rFonts w:hint="eastAsia" w:ascii="宋体" w:hAnsi="宋体" w:eastAsia="宋体" w:cs="宋体"/>
                <w:color w:val="auto"/>
                <w:kern w:val="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Ex>
        <w:trPr>
          <w:trHeight w:val="1661" w:hRule="atLeast"/>
          <w:jc w:val="center"/>
        </w:trPr>
        <w:tc>
          <w:tcPr>
            <w:tcW w:w="1291" w:type="dxa"/>
            <w:vMerge w:val="continue"/>
            <w:tcBorders>
              <w:tl2br w:val="nil"/>
              <w:tr2bl w:val="nil"/>
            </w:tcBorders>
            <w:tcMar>
              <w:top w:w="100" w:type="dxa"/>
              <w:bottom w:w="100" w:type="dxa"/>
            </w:tcMar>
            <w:vAlign w:val="center"/>
          </w:tcPr>
          <w:p>
            <w:pPr>
              <w:pStyle w:val="9"/>
              <w:keepNext w:val="0"/>
              <w:keepLines w:val="0"/>
              <w:pageBreakBefore w:val="0"/>
              <w:widowControl/>
              <w:kinsoku/>
              <w:wordWrap/>
              <w:overflowPunct/>
              <w:topLinePunct w:val="0"/>
              <w:autoSpaceDE/>
              <w:autoSpaceDN/>
              <w:bidi w:val="0"/>
              <w:adjustRightInd/>
              <w:snapToGrid/>
              <w:spacing w:line="600" w:lineRule="exact"/>
              <w:jc w:val="center"/>
              <w:textAlignment w:val="auto"/>
              <w:rPr>
                <w:rStyle w:val="5"/>
                <w:rFonts w:hint="eastAsia" w:ascii="宋体" w:hAnsi="宋体" w:eastAsia="宋体" w:cs="宋体"/>
                <w:b w:val="0"/>
                <w:kern w:val="2"/>
                <w:sz w:val="24"/>
                <w:szCs w:val="24"/>
                <w:lang w:val="en-US" w:eastAsia="zh-CN" w:bidi="ar-SA"/>
              </w:rPr>
            </w:pPr>
          </w:p>
        </w:tc>
        <w:tc>
          <w:tcPr>
            <w:tcW w:w="1217" w:type="dxa"/>
            <w:tcBorders>
              <w:tl2br w:val="nil"/>
              <w:tr2bl w:val="nil"/>
            </w:tcBorders>
            <w:tcMar>
              <w:top w:w="100" w:type="dxa"/>
              <w:bottom w:w="100" w:type="dxa"/>
            </w:tcMar>
            <w:vAlign w:val="center"/>
          </w:tcPr>
          <w:p>
            <w:pPr>
              <w:pStyle w:val="9"/>
              <w:keepNext w:val="0"/>
              <w:keepLines w:val="0"/>
              <w:pageBreakBefore w:val="0"/>
              <w:widowControl/>
              <w:kinsoku/>
              <w:wordWrap/>
              <w:overflowPunct/>
              <w:topLinePunct w:val="0"/>
              <w:autoSpaceDE/>
              <w:autoSpaceDN/>
              <w:bidi w:val="0"/>
              <w:adjustRightInd/>
              <w:snapToGrid/>
              <w:spacing w:line="600" w:lineRule="exact"/>
              <w:ind w:left="240" w:hanging="240" w:hangingChars="100"/>
              <w:jc w:val="both"/>
              <w:textAlignment w:val="auto"/>
              <w:rPr>
                <w:rStyle w:val="5"/>
                <w:rFonts w:hint="eastAsia" w:ascii="宋体" w:hAnsi="宋体" w:eastAsia="宋体" w:cs="宋体"/>
                <w:b w:val="0"/>
                <w:sz w:val="24"/>
                <w:szCs w:val="24"/>
                <w:lang w:val="en-US" w:eastAsia="zh-CN"/>
              </w:rPr>
            </w:pPr>
            <w:r>
              <w:rPr>
                <w:rStyle w:val="6"/>
                <w:rFonts w:hint="eastAsia" w:ascii="宋体" w:hAnsi="宋体" w:eastAsia="宋体" w:cs="宋体"/>
                <w:b w:val="0"/>
                <w:bCs/>
                <w:kern w:val="0"/>
                <w:sz w:val="24"/>
                <w:szCs w:val="24"/>
                <w:lang w:val="en-US" w:eastAsia="zh-CN" w:bidi="ar"/>
              </w:rPr>
              <w:t>质量管控体系</w:t>
            </w:r>
          </w:p>
        </w:tc>
        <w:tc>
          <w:tcPr>
            <w:tcW w:w="783" w:type="dxa"/>
            <w:tcBorders>
              <w:tl2br w:val="nil"/>
              <w:tr2bl w:val="nil"/>
            </w:tcBorders>
            <w:tcMar>
              <w:top w:w="100" w:type="dxa"/>
              <w:bottom w:w="100" w:type="dxa"/>
            </w:tcMar>
            <w:vAlign w:val="center"/>
          </w:tcPr>
          <w:p>
            <w:pPr>
              <w:pStyle w:val="9"/>
              <w:keepNext w:val="0"/>
              <w:keepLines w:val="0"/>
              <w:pageBreakBefore w:val="0"/>
              <w:widowControl/>
              <w:kinsoku/>
              <w:wordWrap/>
              <w:overflowPunct/>
              <w:topLinePunct w:val="0"/>
              <w:autoSpaceDE/>
              <w:autoSpaceDN/>
              <w:bidi w:val="0"/>
              <w:adjustRightInd/>
              <w:snapToGrid/>
              <w:spacing w:line="600" w:lineRule="exact"/>
              <w:jc w:val="center"/>
              <w:textAlignment w:val="auto"/>
              <w:rPr>
                <w:rStyle w:val="5"/>
                <w:rFonts w:hint="eastAsia" w:ascii="宋体" w:hAnsi="宋体" w:eastAsia="宋体" w:cs="宋体"/>
                <w:b w:val="0"/>
                <w:kern w:val="2"/>
                <w:sz w:val="24"/>
                <w:szCs w:val="24"/>
                <w:lang w:val="en-US" w:eastAsia="zh-CN" w:bidi="ar-SA"/>
              </w:rPr>
            </w:pPr>
            <w:r>
              <w:rPr>
                <w:rStyle w:val="5"/>
                <w:rFonts w:hint="eastAsia" w:ascii="宋体" w:hAnsi="宋体" w:eastAsia="宋体" w:cs="宋体"/>
                <w:b w:val="0"/>
                <w:kern w:val="2"/>
                <w:sz w:val="24"/>
                <w:szCs w:val="24"/>
                <w:lang w:val="en-US" w:eastAsia="zh-CN" w:bidi="ar-SA"/>
              </w:rPr>
              <w:t>10</w:t>
            </w:r>
          </w:p>
        </w:tc>
        <w:tc>
          <w:tcPr>
            <w:tcW w:w="6900" w:type="dxa"/>
            <w:tcBorders>
              <w:tl2br w:val="nil"/>
              <w:tr2bl w:val="nil"/>
            </w:tcBorders>
            <w:shd w:val="clear" w:color="auto" w:fill="auto"/>
            <w:tcMar>
              <w:top w:w="100" w:type="dxa"/>
              <w:bottom w:w="100" w:type="dxa"/>
            </w:tcMar>
            <w:vAlign w:val="top"/>
          </w:tcPr>
          <w:p>
            <w:pPr>
              <w:keepNext w:val="0"/>
              <w:keepLines w:val="0"/>
              <w:pageBreakBefore w:val="0"/>
              <w:widowControl/>
              <w:suppressLineNumbers w:val="0"/>
              <w:kinsoku/>
              <w:wordWrap/>
              <w:overflowPunct/>
              <w:topLinePunct w:val="0"/>
              <w:bidi w:val="0"/>
              <w:adjustRightInd/>
              <w:snapToGrid/>
              <w:spacing w:line="600" w:lineRule="exact"/>
              <w:jc w:val="left"/>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rPr>
              <w:t>供应商根据质量保证体系和管理措施</w:t>
            </w:r>
            <w:r>
              <w:rPr>
                <w:rFonts w:hint="eastAsia" w:ascii="宋体" w:hAnsi="宋体" w:eastAsia="宋体" w:cs="宋体"/>
                <w:kern w:val="0"/>
                <w:sz w:val="24"/>
                <w:szCs w:val="24"/>
                <w:lang w:val="en-US" w:eastAsia="zh-CN" w:bidi="ar"/>
              </w:rPr>
              <w:t>具备完善的原材料质检、工序抽检、成品终检三级管控机制，质控流程规范，得10分；有基础质控流程，得6分；无质控体系不得分。</w:t>
            </w:r>
          </w:p>
        </w:tc>
        <w:tc>
          <w:tcPr>
            <w:tcW w:w="774" w:type="dxa"/>
            <w:tcBorders>
              <w:tl2br w:val="nil"/>
              <w:tr2bl w:val="nil"/>
            </w:tcBorders>
            <w:shd w:val="clear" w:color="auto" w:fill="auto"/>
            <w:tcMar>
              <w:top w:w="100" w:type="dxa"/>
              <w:bottom w:w="100" w:type="dxa"/>
            </w:tcMar>
            <w:vAlign w:val="top"/>
          </w:tcPr>
          <w:p>
            <w:pPr>
              <w:keepNext w:val="0"/>
              <w:keepLines w:val="0"/>
              <w:pageBreakBefore w:val="0"/>
              <w:widowControl/>
              <w:suppressLineNumbers w:val="0"/>
              <w:kinsoku/>
              <w:wordWrap/>
              <w:overflowPunct/>
              <w:topLinePunct w:val="0"/>
              <w:bidi w:val="0"/>
              <w:adjustRightInd/>
              <w:snapToGrid/>
              <w:spacing w:line="600" w:lineRule="exact"/>
              <w:jc w:val="left"/>
              <w:textAlignment w:val="auto"/>
              <w:rPr>
                <w:rFonts w:hint="eastAsia" w:ascii="宋体" w:hAnsi="宋体" w:eastAsia="宋体" w:cs="宋体"/>
                <w:color w:val="auto"/>
                <w:kern w:val="0"/>
                <w:sz w:val="24"/>
                <w:szCs w:val="24"/>
                <w:lang w:val="en-US"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Ex>
        <w:trPr>
          <w:trHeight w:val="1578" w:hRule="atLeast"/>
          <w:jc w:val="center"/>
        </w:trPr>
        <w:tc>
          <w:tcPr>
            <w:tcW w:w="1291" w:type="dxa"/>
            <w:vMerge w:val="continue"/>
            <w:tcBorders>
              <w:tl2br w:val="nil"/>
              <w:tr2bl w:val="nil"/>
            </w:tcBorders>
            <w:tcMar>
              <w:top w:w="100" w:type="dxa"/>
              <w:bottom w:w="100" w:type="dxa"/>
            </w:tcMar>
            <w:vAlign w:val="center"/>
          </w:tcPr>
          <w:p>
            <w:pPr>
              <w:pStyle w:val="9"/>
              <w:keepNext w:val="0"/>
              <w:keepLines w:val="0"/>
              <w:pageBreakBefore w:val="0"/>
              <w:widowControl/>
              <w:kinsoku/>
              <w:wordWrap/>
              <w:overflowPunct/>
              <w:topLinePunct w:val="0"/>
              <w:autoSpaceDE/>
              <w:autoSpaceDN/>
              <w:bidi w:val="0"/>
              <w:adjustRightInd/>
              <w:snapToGrid/>
              <w:spacing w:line="600" w:lineRule="exact"/>
              <w:jc w:val="center"/>
              <w:textAlignment w:val="auto"/>
              <w:rPr>
                <w:rStyle w:val="5"/>
                <w:rFonts w:hint="eastAsia" w:ascii="宋体" w:hAnsi="宋体" w:eastAsia="宋体" w:cs="宋体"/>
                <w:b w:val="0"/>
                <w:kern w:val="2"/>
                <w:sz w:val="24"/>
                <w:szCs w:val="24"/>
                <w:lang w:val="en-US" w:eastAsia="zh-CN" w:bidi="ar-SA"/>
              </w:rPr>
            </w:pPr>
          </w:p>
        </w:tc>
        <w:tc>
          <w:tcPr>
            <w:tcW w:w="1217" w:type="dxa"/>
            <w:tcBorders>
              <w:tl2br w:val="nil"/>
              <w:tr2bl w:val="nil"/>
            </w:tcBorders>
            <w:tcMar>
              <w:top w:w="100" w:type="dxa"/>
              <w:bottom w:w="100" w:type="dxa"/>
            </w:tcMar>
            <w:vAlign w:val="center"/>
          </w:tcPr>
          <w:p>
            <w:pPr>
              <w:keepNext w:val="0"/>
              <w:keepLines w:val="0"/>
              <w:pageBreakBefore w:val="0"/>
              <w:widowControl/>
              <w:suppressLineNumbers w:val="0"/>
              <w:kinsoku/>
              <w:wordWrap/>
              <w:overflowPunct/>
              <w:topLinePunct w:val="0"/>
              <w:bidi w:val="0"/>
              <w:adjustRightInd/>
              <w:snapToGrid/>
              <w:spacing w:line="600" w:lineRule="exact"/>
              <w:ind w:left="240" w:hanging="240" w:hangingChars="100"/>
              <w:jc w:val="left"/>
              <w:textAlignment w:val="auto"/>
              <w:rPr>
                <w:rStyle w:val="5"/>
                <w:rFonts w:hint="eastAsia" w:ascii="宋体" w:hAnsi="宋体" w:eastAsia="宋体" w:cs="宋体"/>
                <w:b w:val="0"/>
                <w:sz w:val="24"/>
                <w:szCs w:val="24"/>
                <w:lang w:eastAsia="zh-CN"/>
              </w:rPr>
            </w:pPr>
            <w:r>
              <w:rPr>
                <w:rStyle w:val="6"/>
                <w:rFonts w:hint="eastAsia" w:ascii="宋体" w:hAnsi="宋体" w:eastAsia="宋体" w:cs="宋体"/>
                <w:b w:val="0"/>
                <w:bCs/>
                <w:kern w:val="0"/>
                <w:sz w:val="24"/>
                <w:szCs w:val="24"/>
                <w:lang w:val="en-US" w:eastAsia="zh-CN" w:bidi="ar"/>
              </w:rPr>
              <w:t>定制化适配方案</w:t>
            </w:r>
          </w:p>
        </w:tc>
        <w:tc>
          <w:tcPr>
            <w:tcW w:w="783" w:type="dxa"/>
            <w:tcBorders>
              <w:tl2br w:val="nil"/>
              <w:tr2bl w:val="nil"/>
            </w:tcBorders>
            <w:tcMar>
              <w:top w:w="100" w:type="dxa"/>
              <w:bottom w:w="100" w:type="dxa"/>
            </w:tcMar>
            <w:vAlign w:val="center"/>
          </w:tcPr>
          <w:p>
            <w:pPr>
              <w:pStyle w:val="9"/>
              <w:keepNext w:val="0"/>
              <w:keepLines w:val="0"/>
              <w:pageBreakBefore w:val="0"/>
              <w:widowControl/>
              <w:kinsoku/>
              <w:wordWrap/>
              <w:overflowPunct/>
              <w:topLinePunct w:val="0"/>
              <w:autoSpaceDE/>
              <w:autoSpaceDN/>
              <w:bidi w:val="0"/>
              <w:adjustRightInd/>
              <w:snapToGrid/>
              <w:spacing w:line="600" w:lineRule="exact"/>
              <w:jc w:val="center"/>
              <w:textAlignment w:val="auto"/>
              <w:rPr>
                <w:rStyle w:val="5"/>
                <w:rFonts w:hint="default" w:ascii="宋体" w:hAnsi="宋体" w:eastAsia="宋体" w:cs="宋体"/>
                <w:b w:val="0"/>
                <w:kern w:val="2"/>
                <w:sz w:val="24"/>
                <w:szCs w:val="24"/>
                <w:lang w:val="en-US" w:eastAsia="zh-CN" w:bidi="ar-SA"/>
              </w:rPr>
            </w:pPr>
            <w:r>
              <w:rPr>
                <w:rStyle w:val="5"/>
                <w:rFonts w:hint="eastAsia" w:ascii="宋体" w:hAnsi="宋体" w:cs="宋体"/>
                <w:b w:val="0"/>
                <w:kern w:val="2"/>
                <w:sz w:val="24"/>
                <w:szCs w:val="24"/>
                <w:lang w:val="en-US" w:eastAsia="zh-CN" w:bidi="ar-SA"/>
              </w:rPr>
              <w:t>10</w:t>
            </w:r>
          </w:p>
        </w:tc>
        <w:tc>
          <w:tcPr>
            <w:tcW w:w="6900" w:type="dxa"/>
            <w:tcBorders>
              <w:tl2br w:val="nil"/>
              <w:tr2bl w:val="nil"/>
            </w:tcBorders>
            <w:tcMar>
              <w:top w:w="100" w:type="dxa"/>
              <w:bottom w:w="100" w:type="dxa"/>
            </w:tcMar>
            <w:vAlign w:val="center"/>
          </w:tcPr>
          <w:p>
            <w:pPr>
              <w:keepNext w:val="0"/>
              <w:keepLines w:val="0"/>
              <w:pageBreakBefore w:val="0"/>
              <w:widowControl/>
              <w:suppressLineNumbers w:val="0"/>
              <w:kinsoku/>
              <w:wordWrap/>
              <w:overflowPunct/>
              <w:topLinePunct w:val="0"/>
              <w:bidi w:val="0"/>
              <w:adjustRightInd/>
              <w:snapToGrid/>
              <w:spacing w:line="600" w:lineRule="exact"/>
              <w:jc w:val="left"/>
              <w:textAlignment w:val="auto"/>
              <w:rPr>
                <w:rStyle w:val="5"/>
                <w:rFonts w:hint="eastAsia" w:ascii="宋体" w:hAnsi="宋体" w:eastAsia="宋体" w:cs="宋体"/>
                <w:b w:val="0"/>
                <w:sz w:val="24"/>
                <w:szCs w:val="24"/>
                <w:lang w:val="en-US" w:eastAsia="zh-CN"/>
              </w:rPr>
            </w:pPr>
            <w:r>
              <w:rPr>
                <w:rFonts w:hint="eastAsia" w:ascii="宋体" w:hAnsi="宋体" w:eastAsia="宋体" w:cs="宋体"/>
                <w:kern w:val="0"/>
                <w:sz w:val="24"/>
                <w:szCs w:val="24"/>
                <w:lang w:val="en-US" w:eastAsia="zh-CN" w:bidi="ar"/>
              </w:rPr>
              <w:t>供应商针对不同开本、破损、异形古籍提供专项定制方案，一册一策，适配性强，得10分；具备基础定制方案，得6分；无专项适配方案，不得分</w:t>
            </w:r>
          </w:p>
        </w:tc>
        <w:tc>
          <w:tcPr>
            <w:tcW w:w="774" w:type="dxa"/>
            <w:tcBorders>
              <w:tl2br w:val="nil"/>
              <w:tr2bl w:val="nil"/>
            </w:tcBorders>
            <w:tcMar>
              <w:top w:w="100" w:type="dxa"/>
              <w:bottom w:w="100" w:type="dxa"/>
            </w:tcMar>
            <w:vAlign w:val="center"/>
          </w:tcPr>
          <w:p>
            <w:pPr>
              <w:keepNext w:val="0"/>
              <w:keepLines w:val="0"/>
              <w:pageBreakBefore w:val="0"/>
              <w:widowControl/>
              <w:suppressLineNumbers w:val="0"/>
              <w:kinsoku/>
              <w:wordWrap/>
              <w:overflowPunct/>
              <w:topLinePunct w:val="0"/>
              <w:bidi w:val="0"/>
              <w:adjustRightInd/>
              <w:snapToGrid/>
              <w:spacing w:line="600" w:lineRule="exact"/>
              <w:jc w:val="left"/>
              <w:textAlignment w:val="auto"/>
              <w:rPr>
                <w:rFonts w:hint="eastAsia" w:ascii="宋体" w:hAnsi="宋体" w:eastAsia="宋体" w:cs="宋体"/>
                <w:kern w:val="0"/>
                <w:sz w:val="24"/>
                <w:szCs w:val="24"/>
                <w:lang w:val="en-US" w:eastAsia="zh-CN" w:bidi="ar"/>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Ex>
        <w:trPr>
          <w:trHeight w:val="3429" w:hRule="atLeast"/>
          <w:jc w:val="center"/>
        </w:trPr>
        <w:tc>
          <w:tcPr>
            <w:tcW w:w="1291" w:type="dxa"/>
            <w:vMerge w:val="continue"/>
            <w:tcBorders>
              <w:tl2br w:val="nil"/>
              <w:tr2bl w:val="nil"/>
            </w:tcBorders>
            <w:tcMar>
              <w:top w:w="100" w:type="dxa"/>
              <w:bottom w:w="100" w:type="dxa"/>
            </w:tcMar>
            <w:vAlign w:val="center"/>
          </w:tcPr>
          <w:p>
            <w:pPr>
              <w:pStyle w:val="9"/>
              <w:keepNext w:val="0"/>
              <w:keepLines w:val="0"/>
              <w:pageBreakBefore w:val="0"/>
              <w:widowControl/>
              <w:kinsoku/>
              <w:wordWrap/>
              <w:overflowPunct/>
              <w:topLinePunct w:val="0"/>
              <w:autoSpaceDE/>
              <w:autoSpaceDN/>
              <w:bidi w:val="0"/>
              <w:adjustRightInd/>
              <w:snapToGrid/>
              <w:spacing w:line="600" w:lineRule="exact"/>
              <w:jc w:val="center"/>
              <w:textAlignment w:val="auto"/>
              <w:rPr>
                <w:rStyle w:val="5"/>
                <w:rFonts w:hint="eastAsia" w:ascii="宋体" w:hAnsi="宋体" w:eastAsia="宋体" w:cs="宋体"/>
                <w:b w:val="0"/>
                <w:sz w:val="24"/>
                <w:szCs w:val="24"/>
              </w:rPr>
            </w:pPr>
          </w:p>
        </w:tc>
        <w:tc>
          <w:tcPr>
            <w:tcW w:w="1217" w:type="dxa"/>
            <w:tcBorders>
              <w:tl2br w:val="nil"/>
              <w:tr2bl w:val="nil"/>
            </w:tcBorders>
            <w:tcMar>
              <w:top w:w="100" w:type="dxa"/>
              <w:bottom w:w="100" w:type="dxa"/>
            </w:tcMar>
            <w:vAlign w:val="center"/>
          </w:tcPr>
          <w:p>
            <w:pPr>
              <w:keepNext w:val="0"/>
              <w:keepLines w:val="0"/>
              <w:pageBreakBefore w:val="0"/>
              <w:widowControl/>
              <w:suppressLineNumbers w:val="0"/>
              <w:kinsoku/>
              <w:wordWrap/>
              <w:overflowPunct/>
              <w:topLinePunct w:val="0"/>
              <w:bidi w:val="0"/>
              <w:adjustRightInd/>
              <w:snapToGrid/>
              <w:spacing w:line="600" w:lineRule="exact"/>
              <w:jc w:val="left"/>
              <w:textAlignment w:val="auto"/>
              <w:rPr>
                <w:rStyle w:val="5"/>
                <w:rFonts w:hint="eastAsia" w:ascii="宋体" w:hAnsi="宋体" w:eastAsia="宋体" w:cs="宋体"/>
                <w:b w:val="0"/>
                <w:sz w:val="24"/>
                <w:szCs w:val="24"/>
              </w:rPr>
            </w:pPr>
            <w:r>
              <w:rPr>
                <w:rFonts w:hint="eastAsia" w:ascii="宋体" w:hAnsi="宋体" w:eastAsia="宋体" w:cs="宋体"/>
                <w:kern w:val="0"/>
                <w:sz w:val="24"/>
                <w:szCs w:val="24"/>
                <w:lang w:val="en-US" w:eastAsia="zh-CN" w:bidi="ar"/>
              </w:rPr>
              <w:t>售后服务与履约保障</w:t>
            </w:r>
          </w:p>
        </w:tc>
        <w:tc>
          <w:tcPr>
            <w:tcW w:w="783" w:type="dxa"/>
            <w:tcBorders>
              <w:tl2br w:val="nil"/>
              <w:tr2bl w:val="nil"/>
            </w:tcBorders>
            <w:tcMar>
              <w:top w:w="100" w:type="dxa"/>
              <w:bottom w:w="100" w:type="dxa"/>
            </w:tcMar>
            <w:vAlign w:val="center"/>
          </w:tcPr>
          <w:p>
            <w:pPr>
              <w:pStyle w:val="9"/>
              <w:keepNext w:val="0"/>
              <w:keepLines w:val="0"/>
              <w:pageBreakBefore w:val="0"/>
              <w:widowControl/>
              <w:kinsoku/>
              <w:wordWrap/>
              <w:overflowPunct/>
              <w:topLinePunct w:val="0"/>
              <w:autoSpaceDE/>
              <w:autoSpaceDN/>
              <w:bidi w:val="0"/>
              <w:adjustRightInd/>
              <w:snapToGrid/>
              <w:spacing w:line="600" w:lineRule="exact"/>
              <w:jc w:val="center"/>
              <w:textAlignment w:val="auto"/>
              <w:rPr>
                <w:rStyle w:val="5"/>
                <w:rFonts w:hint="eastAsia" w:ascii="宋体" w:hAnsi="宋体" w:eastAsia="宋体" w:cs="宋体"/>
                <w:b w:val="0"/>
                <w:sz w:val="24"/>
                <w:szCs w:val="24"/>
                <w:lang w:val="en-US" w:eastAsia="zh-CN"/>
              </w:rPr>
            </w:pPr>
            <w:r>
              <w:rPr>
                <w:rStyle w:val="5"/>
                <w:rFonts w:hint="eastAsia" w:ascii="宋体" w:hAnsi="宋体" w:eastAsia="宋体" w:cs="宋体"/>
                <w:b w:val="0"/>
                <w:kern w:val="2"/>
                <w:sz w:val="24"/>
                <w:szCs w:val="24"/>
                <w:lang w:val="en-US" w:eastAsia="zh-CN" w:bidi="ar-SA"/>
              </w:rPr>
              <w:t>10</w:t>
            </w:r>
          </w:p>
        </w:tc>
        <w:tc>
          <w:tcPr>
            <w:tcW w:w="6900" w:type="dxa"/>
            <w:tcBorders>
              <w:tl2br w:val="nil"/>
              <w:tr2bl w:val="nil"/>
            </w:tcBorders>
            <w:tcMar>
              <w:top w:w="100" w:type="dxa"/>
              <w:bottom w:w="100" w:type="dxa"/>
            </w:tcMar>
            <w:vAlign w:val="center"/>
          </w:tcPr>
          <w:p>
            <w:pPr>
              <w:keepNext w:val="0"/>
              <w:keepLines w:val="0"/>
              <w:pageBreakBefore w:val="0"/>
              <w:widowControl/>
              <w:suppressLineNumbers w:val="0"/>
              <w:kinsoku/>
              <w:wordWrap/>
              <w:overflowPunct/>
              <w:topLinePunct w:val="0"/>
              <w:bidi w:val="0"/>
              <w:adjustRightInd/>
              <w:snapToGrid/>
              <w:spacing w:line="600" w:lineRule="exact"/>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1.</w:t>
            </w:r>
            <w:r>
              <w:rPr>
                <w:rFonts w:hint="eastAsia" w:ascii="宋体" w:hAnsi="宋体" w:eastAsia="宋体" w:cs="宋体"/>
                <w:b w:val="0"/>
                <w:bCs w:val="0"/>
                <w:kern w:val="0"/>
                <w:sz w:val="24"/>
                <w:szCs w:val="24"/>
                <w:lang w:val="en-US" w:eastAsia="zh-CN" w:bidi="ar"/>
              </w:rPr>
              <w:t xml:space="preserve"> </w:t>
            </w:r>
            <w:r>
              <w:rPr>
                <w:rStyle w:val="6"/>
                <w:rFonts w:hint="eastAsia" w:ascii="宋体" w:hAnsi="宋体" w:eastAsia="宋体" w:cs="宋体"/>
                <w:b w:val="0"/>
                <w:bCs w:val="0"/>
                <w:kern w:val="0"/>
                <w:sz w:val="24"/>
                <w:szCs w:val="24"/>
                <w:lang w:val="en-US" w:eastAsia="zh-CN" w:bidi="ar"/>
              </w:rPr>
              <w:t>质保服务（5分）</w:t>
            </w:r>
            <w:r>
              <w:rPr>
                <w:rFonts w:hint="eastAsia" w:ascii="宋体" w:hAnsi="宋体" w:eastAsia="宋体" w:cs="宋体"/>
                <w:kern w:val="0"/>
                <w:sz w:val="24"/>
                <w:szCs w:val="24"/>
                <w:lang w:val="en-US" w:eastAsia="zh-CN" w:bidi="ar"/>
              </w:rPr>
              <w:t>：质保期5年，且提供年度免费回访养护服务，得5分；质保期达标无增值服务，得2分；质保期不达标不得分。</w:t>
            </w:r>
          </w:p>
          <w:p>
            <w:pPr>
              <w:keepNext w:val="0"/>
              <w:keepLines w:val="0"/>
              <w:pageBreakBefore w:val="0"/>
              <w:widowControl/>
              <w:suppressLineNumbers w:val="0"/>
              <w:kinsoku/>
              <w:wordWrap/>
              <w:overflowPunct/>
              <w:topLinePunct w:val="0"/>
              <w:bidi w:val="0"/>
              <w:adjustRightInd/>
              <w:snapToGrid/>
              <w:spacing w:line="600" w:lineRule="exact"/>
              <w:jc w:val="left"/>
              <w:textAlignment w:val="auto"/>
              <w:rPr>
                <w:rStyle w:val="5"/>
                <w:rFonts w:hint="eastAsia" w:ascii="宋体" w:hAnsi="宋体" w:eastAsia="宋体" w:cs="宋体"/>
                <w:b w:val="0"/>
                <w:sz w:val="24"/>
                <w:szCs w:val="24"/>
              </w:rPr>
            </w:pPr>
            <w:r>
              <w:rPr>
                <w:rFonts w:hint="eastAsia" w:ascii="宋体" w:hAnsi="宋体" w:eastAsia="宋体" w:cs="宋体"/>
                <w:kern w:val="0"/>
                <w:sz w:val="24"/>
                <w:szCs w:val="24"/>
                <w:lang w:val="en-US" w:eastAsia="zh-CN" w:bidi="ar"/>
              </w:rPr>
              <w:t xml:space="preserve">2. </w:t>
            </w:r>
            <w:r>
              <w:rPr>
                <w:rStyle w:val="6"/>
                <w:rFonts w:hint="eastAsia" w:ascii="宋体" w:hAnsi="宋体" w:eastAsia="宋体" w:cs="宋体"/>
                <w:b w:val="0"/>
                <w:bCs/>
                <w:kern w:val="0"/>
                <w:sz w:val="24"/>
                <w:szCs w:val="24"/>
                <w:lang w:val="en-US" w:eastAsia="zh-CN" w:bidi="ar"/>
              </w:rPr>
              <w:t>应急响应（5分）</w:t>
            </w:r>
            <w:r>
              <w:rPr>
                <w:rFonts w:hint="eastAsia" w:ascii="宋体" w:hAnsi="宋体" w:eastAsia="宋体" w:cs="宋体"/>
                <w:kern w:val="0"/>
                <w:sz w:val="24"/>
                <w:szCs w:val="24"/>
                <w:lang w:val="en-US" w:eastAsia="zh-CN" w:bidi="ar"/>
              </w:rPr>
              <w:t>：承诺24小时响应、48小时现场处置，具备完善的应急抢修机制，得5分；响应时效基本达标，得2分；无响应不得分。</w:t>
            </w:r>
          </w:p>
        </w:tc>
        <w:tc>
          <w:tcPr>
            <w:tcW w:w="774" w:type="dxa"/>
            <w:tcBorders>
              <w:tl2br w:val="nil"/>
              <w:tr2bl w:val="nil"/>
            </w:tcBorders>
            <w:tcMar>
              <w:top w:w="100" w:type="dxa"/>
              <w:bottom w:w="100" w:type="dxa"/>
            </w:tcMar>
            <w:vAlign w:val="center"/>
          </w:tcPr>
          <w:p>
            <w:pPr>
              <w:keepNext w:val="0"/>
              <w:keepLines w:val="0"/>
              <w:pageBreakBefore w:val="0"/>
              <w:widowControl/>
              <w:suppressLineNumbers w:val="0"/>
              <w:kinsoku/>
              <w:wordWrap/>
              <w:overflowPunct/>
              <w:topLinePunct w:val="0"/>
              <w:bidi w:val="0"/>
              <w:adjustRightInd/>
              <w:snapToGrid/>
              <w:spacing w:line="600" w:lineRule="exact"/>
              <w:jc w:val="left"/>
              <w:textAlignment w:val="auto"/>
              <w:rPr>
                <w:rFonts w:hint="eastAsia" w:ascii="宋体" w:hAnsi="宋体" w:eastAsia="宋体" w:cs="宋体"/>
                <w:kern w:val="0"/>
                <w:sz w:val="24"/>
                <w:szCs w:val="24"/>
                <w:lang w:val="en-US" w:eastAsia="zh-CN" w:bidi="ar"/>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Ex>
        <w:trPr>
          <w:trHeight w:val="4012" w:hRule="atLeast"/>
          <w:jc w:val="center"/>
        </w:trPr>
        <w:tc>
          <w:tcPr>
            <w:tcW w:w="1291" w:type="dxa"/>
            <w:vMerge w:val="continue"/>
            <w:tcBorders>
              <w:tl2br w:val="nil"/>
              <w:tr2bl w:val="nil"/>
            </w:tcBorders>
            <w:tcMar>
              <w:top w:w="100" w:type="dxa"/>
              <w:bottom w:w="100" w:type="dxa"/>
            </w:tcMar>
            <w:vAlign w:val="center"/>
          </w:tcPr>
          <w:p>
            <w:pPr>
              <w:pStyle w:val="9"/>
              <w:keepNext w:val="0"/>
              <w:keepLines w:val="0"/>
              <w:pageBreakBefore w:val="0"/>
              <w:widowControl/>
              <w:kinsoku/>
              <w:wordWrap/>
              <w:overflowPunct/>
              <w:topLinePunct w:val="0"/>
              <w:autoSpaceDE/>
              <w:autoSpaceDN/>
              <w:bidi w:val="0"/>
              <w:adjustRightInd/>
              <w:snapToGrid/>
              <w:spacing w:line="600" w:lineRule="exact"/>
              <w:jc w:val="center"/>
              <w:textAlignment w:val="auto"/>
              <w:rPr>
                <w:rStyle w:val="5"/>
                <w:rFonts w:hint="eastAsia" w:ascii="宋体" w:hAnsi="宋体" w:eastAsia="宋体" w:cs="宋体"/>
                <w:b w:val="0"/>
                <w:sz w:val="24"/>
                <w:szCs w:val="24"/>
              </w:rPr>
            </w:pPr>
          </w:p>
        </w:tc>
        <w:tc>
          <w:tcPr>
            <w:tcW w:w="1217" w:type="dxa"/>
            <w:tcBorders>
              <w:tl2br w:val="nil"/>
              <w:tr2bl w:val="nil"/>
            </w:tcBorders>
            <w:tcMar>
              <w:top w:w="100" w:type="dxa"/>
              <w:bottom w:w="100" w:type="dxa"/>
            </w:tcMar>
            <w:vAlign w:val="center"/>
          </w:tcPr>
          <w:p>
            <w:pPr>
              <w:pStyle w:val="9"/>
              <w:keepNext w:val="0"/>
              <w:keepLines w:val="0"/>
              <w:pageBreakBefore w:val="0"/>
              <w:widowControl/>
              <w:kinsoku/>
              <w:wordWrap/>
              <w:overflowPunct/>
              <w:topLinePunct w:val="0"/>
              <w:autoSpaceDE/>
              <w:autoSpaceDN/>
              <w:bidi w:val="0"/>
              <w:adjustRightInd/>
              <w:snapToGrid/>
              <w:spacing w:line="600" w:lineRule="exact"/>
              <w:jc w:val="center"/>
              <w:textAlignment w:val="auto"/>
              <w:rPr>
                <w:rStyle w:val="5"/>
                <w:rFonts w:hint="eastAsia" w:ascii="宋体" w:hAnsi="宋体" w:eastAsia="宋体" w:cs="宋体"/>
                <w:b w:val="0"/>
                <w:sz w:val="24"/>
                <w:szCs w:val="24"/>
              </w:rPr>
            </w:pPr>
            <w:r>
              <w:rPr>
                <w:rFonts w:hint="eastAsia" w:ascii="宋体" w:hAnsi="宋体" w:eastAsia="宋体" w:cs="宋体"/>
                <w:kern w:val="0"/>
                <w:sz w:val="24"/>
                <w:szCs w:val="24"/>
              </w:rPr>
              <w:t>磋商陈述</w:t>
            </w:r>
          </w:p>
        </w:tc>
        <w:tc>
          <w:tcPr>
            <w:tcW w:w="783" w:type="dxa"/>
            <w:tcBorders>
              <w:tl2br w:val="nil"/>
              <w:tr2bl w:val="nil"/>
            </w:tcBorders>
            <w:tcMar>
              <w:top w:w="100" w:type="dxa"/>
              <w:bottom w:w="100" w:type="dxa"/>
            </w:tcMar>
            <w:vAlign w:val="center"/>
          </w:tcPr>
          <w:p>
            <w:pPr>
              <w:pStyle w:val="9"/>
              <w:keepNext w:val="0"/>
              <w:keepLines w:val="0"/>
              <w:pageBreakBefore w:val="0"/>
              <w:widowControl/>
              <w:kinsoku/>
              <w:wordWrap/>
              <w:overflowPunct/>
              <w:topLinePunct w:val="0"/>
              <w:autoSpaceDE/>
              <w:autoSpaceDN/>
              <w:bidi w:val="0"/>
              <w:adjustRightInd/>
              <w:snapToGrid/>
              <w:spacing w:line="600" w:lineRule="exact"/>
              <w:jc w:val="center"/>
              <w:textAlignment w:val="auto"/>
              <w:rPr>
                <w:rStyle w:val="5"/>
                <w:rFonts w:hint="eastAsia" w:ascii="宋体" w:hAnsi="宋体" w:eastAsia="宋体" w:cs="宋体"/>
                <w:b w:val="0"/>
                <w:kern w:val="2"/>
                <w:sz w:val="24"/>
                <w:szCs w:val="24"/>
                <w:lang w:val="en-US" w:eastAsia="zh-CN" w:bidi="ar-SA"/>
              </w:rPr>
            </w:pPr>
            <w:r>
              <w:rPr>
                <w:rStyle w:val="5"/>
                <w:rFonts w:hint="eastAsia" w:ascii="宋体" w:hAnsi="宋体" w:eastAsia="宋体" w:cs="宋体"/>
                <w:b w:val="0"/>
                <w:kern w:val="2"/>
                <w:sz w:val="24"/>
                <w:szCs w:val="24"/>
                <w:lang w:val="en-US" w:eastAsia="zh-CN" w:bidi="ar-SA"/>
              </w:rPr>
              <w:t>10</w:t>
            </w:r>
          </w:p>
        </w:tc>
        <w:tc>
          <w:tcPr>
            <w:tcW w:w="6900" w:type="dxa"/>
            <w:tcBorders>
              <w:tl2br w:val="nil"/>
              <w:tr2bl w:val="nil"/>
            </w:tcBorders>
            <w:tcMar>
              <w:top w:w="100" w:type="dxa"/>
              <w:bottom w:w="100" w:type="dxa"/>
            </w:tcMar>
            <w:vAlign w:val="center"/>
          </w:tcPr>
          <w:p>
            <w:pPr>
              <w:keepNext w:val="0"/>
              <w:keepLines w:val="0"/>
              <w:pageBreakBefore w:val="0"/>
              <w:widowControl/>
              <w:kinsoku/>
              <w:wordWrap/>
              <w:overflowPunct/>
              <w:topLinePunct w:val="0"/>
              <w:bidi w:val="0"/>
              <w:adjustRightInd/>
              <w:snapToGrid/>
              <w:spacing w:line="600" w:lineRule="exact"/>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 xml:space="preserve">陈述内容中包含但不限于对项目服务方案服务内容、合理化建议以及供应商认为有必要陈述的内容进行全面的叙述，述标时间10分钟以内。 </w:t>
            </w:r>
          </w:p>
          <w:p>
            <w:pPr>
              <w:keepNext w:val="0"/>
              <w:keepLines w:val="0"/>
              <w:pageBreakBefore w:val="0"/>
              <w:widowControl/>
              <w:kinsoku/>
              <w:wordWrap/>
              <w:overflowPunct/>
              <w:topLinePunct w:val="0"/>
              <w:bidi w:val="0"/>
              <w:adjustRightInd/>
              <w:snapToGrid/>
              <w:spacing w:line="600" w:lineRule="exact"/>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 xml:space="preserve">供应商叙述全面简洁、响应措施合理可行的得10分； </w:t>
            </w:r>
          </w:p>
          <w:p>
            <w:pPr>
              <w:keepNext w:val="0"/>
              <w:keepLines w:val="0"/>
              <w:pageBreakBefore w:val="0"/>
              <w:widowControl/>
              <w:kinsoku/>
              <w:wordWrap/>
              <w:overflowPunct/>
              <w:topLinePunct w:val="0"/>
              <w:bidi w:val="0"/>
              <w:adjustRightInd/>
              <w:snapToGrid/>
              <w:spacing w:line="600" w:lineRule="exact"/>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 xml:space="preserve">供应商叙述全面简洁、响应措施较合理可行的得6分； </w:t>
            </w:r>
          </w:p>
          <w:p>
            <w:pPr>
              <w:keepNext w:val="0"/>
              <w:keepLines w:val="0"/>
              <w:pageBreakBefore w:val="0"/>
              <w:widowControl/>
              <w:kinsoku/>
              <w:wordWrap/>
              <w:overflowPunct/>
              <w:topLinePunct w:val="0"/>
              <w:bidi w:val="0"/>
              <w:adjustRightInd/>
              <w:snapToGrid/>
              <w:spacing w:line="600" w:lineRule="exact"/>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 xml:space="preserve">供应商叙述片面繁杂、无响应措施的得2分； </w:t>
            </w:r>
          </w:p>
          <w:p>
            <w:pPr>
              <w:keepNext w:val="0"/>
              <w:keepLines w:val="0"/>
              <w:pageBreakBefore w:val="0"/>
              <w:widowControl/>
              <w:kinsoku/>
              <w:wordWrap/>
              <w:overflowPunct/>
              <w:topLinePunct w:val="0"/>
              <w:bidi w:val="0"/>
              <w:adjustRightInd/>
              <w:snapToGrid/>
              <w:spacing w:line="600" w:lineRule="exact"/>
              <w:jc w:val="left"/>
              <w:textAlignment w:val="auto"/>
              <w:rPr>
                <w:rStyle w:val="5"/>
                <w:rFonts w:hint="eastAsia" w:ascii="宋体" w:hAnsi="宋体" w:eastAsia="宋体" w:cs="宋体"/>
                <w:b w:val="0"/>
                <w:kern w:val="2"/>
                <w:sz w:val="24"/>
                <w:szCs w:val="24"/>
                <w:lang w:val="en-US" w:eastAsia="zh-CN" w:bidi="ar-SA"/>
              </w:rPr>
            </w:pPr>
            <w:r>
              <w:rPr>
                <w:rFonts w:hint="eastAsia" w:ascii="宋体" w:hAnsi="宋体" w:eastAsia="宋体" w:cs="宋体"/>
                <w:kern w:val="0"/>
                <w:sz w:val="24"/>
                <w:szCs w:val="24"/>
              </w:rPr>
              <w:t>供应商叙述不响应竞争性磋商文件要求的得0分。</w:t>
            </w:r>
          </w:p>
        </w:tc>
        <w:tc>
          <w:tcPr>
            <w:tcW w:w="774" w:type="dxa"/>
            <w:tcBorders>
              <w:tl2br w:val="nil"/>
              <w:tr2bl w:val="nil"/>
            </w:tcBorders>
            <w:tcMar>
              <w:top w:w="100" w:type="dxa"/>
              <w:bottom w:w="100" w:type="dxa"/>
            </w:tcMar>
            <w:vAlign w:val="center"/>
          </w:tcPr>
          <w:p>
            <w:pPr>
              <w:keepNext w:val="0"/>
              <w:keepLines w:val="0"/>
              <w:pageBreakBefore w:val="0"/>
              <w:widowControl/>
              <w:kinsoku/>
              <w:wordWrap/>
              <w:overflowPunct/>
              <w:topLinePunct w:val="0"/>
              <w:bidi w:val="0"/>
              <w:adjustRightInd/>
              <w:snapToGrid/>
              <w:spacing w:line="600" w:lineRule="exact"/>
              <w:jc w:val="left"/>
              <w:textAlignment w:val="auto"/>
              <w:rPr>
                <w:rFonts w:hint="eastAsia" w:ascii="宋体" w:hAnsi="宋体" w:eastAsia="宋体" w:cs="宋体"/>
                <w:kern w:val="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Ex>
        <w:trPr>
          <w:jc w:val="center"/>
        </w:trPr>
        <w:tc>
          <w:tcPr>
            <w:tcW w:w="1291" w:type="dxa"/>
            <w:vMerge w:val="restart"/>
            <w:tcBorders>
              <w:tl2br w:val="nil"/>
              <w:tr2bl w:val="nil"/>
            </w:tcBorders>
            <w:tcMar>
              <w:top w:w="100" w:type="dxa"/>
              <w:bottom w:w="100" w:type="dxa"/>
            </w:tcMar>
            <w:vAlign w:val="center"/>
          </w:tcPr>
          <w:p>
            <w:pPr>
              <w:pStyle w:val="9"/>
              <w:keepNext w:val="0"/>
              <w:keepLines w:val="0"/>
              <w:pageBreakBefore w:val="0"/>
              <w:widowControl/>
              <w:kinsoku/>
              <w:wordWrap/>
              <w:overflowPunct/>
              <w:topLinePunct w:val="0"/>
              <w:autoSpaceDE/>
              <w:autoSpaceDN/>
              <w:bidi w:val="0"/>
              <w:adjustRightInd/>
              <w:snapToGrid/>
              <w:spacing w:line="600" w:lineRule="exact"/>
              <w:jc w:val="center"/>
              <w:textAlignment w:val="auto"/>
              <w:rPr>
                <w:rStyle w:val="5"/>
                <w:rFonts w:hint="eastAsia" w:ascii="宋体" w:hAnsi="宋体" w:eastAsia="宋体" w:cs="宋体"/>
                <w:b w:val="0"/>
                <w:sz w:val="24"/>
                <w:szCs w:val="24"/>
                <w:lang w:eastAsia="zh-CN"/>
              </w:rPr>
            </w:pPr>
            <w:r>
              <w:rPr>
                <w:rStyle w:val="5"/>
                <w:rFonts w:hint="eastAsia" w:ascii="宋体" w:hAnsi="宋体" w:eastAsia="宋体" w:cs="宋体"/>
                <w:b w:val="0"/>
                <w:kern w:val="2"/>
                <w:sz w:val="24"/>
                <w:szCs w:val="24"/>
                <w:lang w:val="en-US" w:eastAsia="zh-CN" w:bidi="ar-SA"/>
              </w:rPr>
              <w:t>商务部分（</w:t>
            </w:r>
            <w:r>
              <w:rPr>
                <w:rStyle w:val="5"/>
                <w:rFonts w:hint="eastAsia" w:ascii="宋体" w:hAnsi="宋体" w:cs="宋体"/>
                <w:b w:val="0"/>
                <w:kern w:val="2"/>
                <w:sz w:val="24"/>
                <w:szCs w:val="24"/>
                <w:lang w:val="en-US" w:eastAsia="zh-CN" w:bidi="ar-SA"/>
              </w:rPr>
              <w:t>30</w:t>
            </w:r>
            <w:r>
              <w:rPr>
                <w:rStyle w:val="5"/>
                <w:rFonts w:hint="eastAsia" w:ascii="宋体" w:hAnsi="宋体" w:eastAsia="宋体" w:cs="宋体"/>
                <w:b w:val="0"/>
                <w:kern w:val="2"/>
                <w:sz w:val="24"/>
                <w:szCs w:val="24"/>
                <w:lang w:val="en-US" w:eastAsia="zh-CN" w:bidi="ar-SA"/>
              </w:rPr>
              <w:t>分）</w:t>
            </w:r>
          </w:p>
        </w:tc>
        <w:tc>
          <w:tcPr>
            <w:tcW w:w="1217" w:type="dxa"/>
            <w:tcBorders>
              <w:tl2br w:val="nil"/>
              <w:tr2bl w:val="nil"/>
            </w:tcBorders>
            <w:tcMar>
              <w:top w:w="100" w:type="dxa"/>
              <w:bottom w:w="100" w:type="dxa"/>
            </w:tcMar>
            <w:vAlign w:val="center"/>
          </w:tcPr>
          <w:p>
            <w:pPr>
              <w:pStyle w:val="9"/>
              <w:keepNext w:val="0"/>
              <w:keepLines w:val="0"/>
              <w:pageBreakBefore w:val="0"/>
              <w:widowControl/>
              <w:kinsoku/>
              <w:wordWrap/>
              <w:overflowPunct/>
              <w:topLinePunct w:val="0"/>
              <w:autoSpaceDE/>
              <w:autoSpaceDN/>
              <w:bidi w:val="0"/>
              <w:adjustRightInd/>
              <w:snapToGrid/>
              <w:spacing w:line="600" w:lineRule="exact"/>
              <w:jc w:val="center"/>
              <w:textAlignment w:val="auto"/>
              <w:rPr>
                <w:rStyle w:val="5"/>
                <w:rFonts w:hint="eastAsia" w:ascii="宋体" w:hAnsi="宋体" w:eastAsia="宋体" w:cs="宋体"/>
                <w:b w:val="0"/>
                <w:sz w:val="24"/>
                <w:szCs w:val="24"/>
              </w:rPr>
            </w:pPr>
            <w:r>
              <w:rPr>
                <w:rStyle w:val="5"/>
                <w:rFonts w:hint="eastAsia" w:ascii="宋体" w:hAnsi="宋体" w:eastAsia="宋体" w:cs="宋体"/>
                <w:b w:val="0"/>
                <w:kern w:val="2"/>
                <w:sz w:val="24"/>
                <w:szCs w:val="24"/>
                <w:lang w:val="en-US" w:eastAsia="zh-CN" w:bidi="ar-SA"/>
              </w:rPr>
              <w:t>类似项目业绩</w:t>
            </w:r>
          </w:p>
        </w:tc>
        <w:tc>
          <w:tcPr>
            <w:tcW w:w="783" w:type="dxa"/>
            <w:tcBorders>
              <w:tl2br w:val="nil"/>
              <w:tr2bl w:val="nil"/>
            </w:tcBorders>
            <w:tcMar>
              <w:top w:w="100" w:type="dxa"/>
              <w:bottom w:w="100" w:type="dxa"/>
            </w:tcMar>
            <w:vAlign w:val="center"/>
          </w:tcPr>
          <w:p>
            <w:pPr>
              <w:pStyle w:val="9"/>
              <w:keepNext w:val="0"/>
              <w:keepLines w:val="0"/>
              <w:pageBreakBefore w:val="0"/>
              <w:widowControl/>
              <w:kinsoku/>
              <w:wordWrap/>
              <w:overflowPunct/>
              <w:topLinePunct w:val="0"/>
              <w:autoSpaceDE/>
              <w:autoSpaceDN/>
              <w:bidi w:val="0"/>
              <w:adjustRightInd/>
              <w:snapToGrid/>
              <w:spacing w:line="600" w:lineRule="exact"/>
              <w:jc w:val="center"/>
              <w:textAlignment w:val="auto"/>
              <w:rPr>
                <w:rStyle w:val="5"/>
                <w:rFonts w:hint="default" w:ascii="宋体" w:hAnsi="宋体" w:eastAsia="宋体" w:cs="宋体"/>
                <w:b w:val="0"/>
                <w:sz w:val="24"/>
                <w:szCs w:val="24"/>
                <w:lang w:val="en-US"/>
              </w:rPr>
            </w:pPr>
            <w:r>
              <w:rPr>
                <w:rStyle w:val="5"/>
                <w:rFonts w:hint="eastAsia" w:ascii="宋体" w:hAnsi="宋体" w:cs="宋体"/>
                <w:b w:val="0"/>
                <w:kern w:val="2"/>
                <w:sz w:val="24"/>
                <w:szCs w:val="24"/>
                <w:lang w:val="en-US" w:eastAsia="zh-CN" w:bidi="ar-SA"/>
              </w:rPr>
              <w:t>10</w:t>
            </w:r>
          </w:p>
        </w:tc>
        <w:tc>
          <w:tcPr>
            <w:tcW w:w="6900" w:type="dxa"/>
            <w:tcBorders>
              <w:tl2br w:val="nil"/>
              <w:tr2bl w:val="nil"/>
            </w:tcBorders>
            <w:tcMar>
              <w:top w:w="100" w:type="dxa"/>
              <w:bottom w:w="100" w:type="dxa"/>
            </w:tcMar>
            <w:vAlign w:val="center"/>
          </w:tcPr>
          <w:p>
            <w:pPr>
              <w:keepNext w:val="0"/>
              <w:keepLines w:val="0"/>
              <w:pageBreakBefore w:val="0"/>
              <w:widowControl/>
              <w:tabs>
                <w:tab w:val="left" w:pos="426"/>
              </w:tabs>
              <w:kinsoku/>
              <w:wordWrap/>
              <w:overflowPunct/>
              <w:topLinePunct w:val="0"/>
              <w:autoSpaceDE w:val="0"/>
              <w:autoSpaceDN w:val="0"/>
              <w:bidi w:val="0"/>
              <w:adjustRightInd/>
              <w:snapToGrid/>
              <w:spacing w:line="600" w:lineRule="exact"/>
              <w:textAlignment w:val="auto"/>
              <w:rPr>
                <w:rStyle w:val="5"/>
                <w:rFonts w:hint="eastAsia" w:ascii="宋体" w:hAnsi="宋体" w:eastAsia="宋体" w:cs="宋体"/>
                <w:b w:val="0"/>
                <w:sz w:val="24"/>
                <w:szCs w:val="24"/>
              </w:rPr>
            </w:pPr>
            <w:r>
              <w:rPr>
                <w:rFonts w:hint="eastAsia" w:ascii="宋体" w:hAnsi="宋体" w:eastAsia="宋体" w:cs="宋体"/>
                <w:kern w:val="0"/>
                <w:sz w:val="24"/>
                <w:szCs w:val="24"/>
              </w:rPr>
              <w:t>投标人自2</w:t>
            </w:r>
            <w:r>
              <w:rPr>
                <w:rFonts w:hint="eastAsia" w:ascii="宋体" w:hAnsi="宋体" w:eastAsia="宋体" w:cs="宋体"/>
                <w:sz w:val="24"/>
                <w:szCs w:val="24"/>
              </w:rPr>
              <w:t>023年1月1日以来（以合同签订日期为准）承接过</w:t>
            </w:r>
            <w:r>
              <w:rPr>
                <w:rFonts w:hint="eastAsia" w:ascii="宋体" w:hAnsi="宋体" w:eastAsia="宋体" w:cs="宋体"/>
                <w:kern w:val="0"/>
                <w:sz w:val="24"/>
                <w:szCs w:val="24"/>
              </w:rPr>
              <w:t>古籍函套制作采购项目业绩的，</w:t>
            </w:r>
            <w:r>
              <w:rPr>
                <w:rFonts w:hint="eastAsia" w:ascii="宋体" w:hAnsi="宋体" w:eastAsia="宋体" w:cs="宋体"/>
                <w:kern w:val="0"/>
                <w:sz w:val="24"/>
                <w:szCs w:val="24"/>
                <w:lang w:val="en-US" w:eastAsia="zh-CN"/>
              </w:rPr>
              <w:t>(并需提供第三方中标通知书)</w:t>
            </w:r>
            <w:r>
              <w:rPr>
                <w:rFonts w:hint="eastAsia" w:ascii="宋体" w:hAnsi="宋体" w:eastAsia="宋体" w:cs="宋体"/>
                <w:kern w:val="0"/>
                <w:sz w:val="24"/>
                <w:szCs w:val="24"/>
              </w:rPr>
              <w:t>每提供一份合同得</w:t>
            </w: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rPr>
              <w:t>分，最高得</w:t>
            </w:r>
            <w:r>
              <w:rPr>
                <w:rFonts w:hint="eastAsia" w:ascii="宋体" w:hAnsi="宋体" w:eastAsia="宋体" w:cs="宋体"/>
                <w:kern w:val="0"/>
                <w:sz w:val="24"/>
                <w:szCs w:val="24"/>
                <w:lang w:val="en-US" w:eastAsia="zh-CN"/>
              </w:rPr>
              <w:t>10</w:t>
            </w:r>
            <w:r>
              <w:rPr>
                <w:rFonts w:hint="eastAsia" w:ascii="宋体" w:hAnsi="宋体" w:eastAsia="宋体" w:cs="宋体"/>
                <w:kern w:val="0"/>
                <w:sz w:val="24"/>
                <w:szCs w:val="24"/>
              </w:rPr>
              <w:t>分。</w:t>
            </w:r>
          </w:p>
        </w:tc>
        <w:tc>
          <w:tcPr>
            <w:tcW w:w="774" w:type="dxa"/>
            <w:tcBorders>
              <w:tl2br w:val="nil"/>
              <w:tr2bl w:val="nil"/>
            </w:tcBorders>
            <w:tcMar>
              <w:top w:w="100" w:type="dxa"/>
              <w:bottom w:w="100" w:type="dxa"/>
            </w:tcMar>
            <w:vAlign w:val="center"/>
          </w:tcPr>
          <w:p>
            <w:pPr>
              <w:keepNext w:val="0"/>
              <w:keepLines w:val="0"/>
              <w:pageBreakBefore w:val="0"/>
              <w:widowControl/>
              <w:tabs>
                <w:tab w:val="left" w:pos="426"/>
              </w:tabs>
              <w:kinsoku/>
              <w:wordWrap/>
              <w:overflowPunct/>
              <w:topLinePunct w:val="0"/>
              <w:autoSpaceDE w:val="0"/>
              <w:autoSpaceDN w:val="0"/>
              <w:bidi w:val="0"/>
              <w:adjustRightInd/>
              <w:snapToGrid/>
              <w:spacing w:line="600" w:lineRule="exact"/>
              <w:textAlignment w:val="auto"/>
              <w:rPr>
                <w:rFonts w:hint="eastAsia" w:ascii="宋体" w:hAnsi="宋体" w:eastAsia="宋体" w:cs="宋体"/>
                <w:kern w:val="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Ex>
        <w:trPr>
          <w:trHeight w:val="2260" w:hRule="atLeast"/>
          <w:jc w:val="center"/>
        </w:trPr>
        <w:tc>
          <w:tcPr>
            <w:tcW w:w="1291" w:type="dxa"/>
            <w:vMerge w:val="continue"/>
            <w:tcBorders>
              <w:tl2br w:val="nil"/>
              <w:tr2bl w:val="nil"/>
            </w:tcBorders>
            <w:tcMar>
              <w:top w:w="100" w:type="dxa"/>
              <w:bottom w:w="100" w:type="dxa"/>
            </w:tcMar>
            <w:vAlign w:val="center"/>
          </w:tcPr>
          <w:p>
            <w:pPr>
              <w:pStyle w:val="9"/>
              <w:keepNext w:val="0"/>
              <w:keepLines w:val="0"/>
              <w:pageBreakBefore w:val="0"/>
              <w:widowControl/>
              <w:kinsoku/>
              <w:wordWrap/>
              <w:overflowPunct/>
              <w:topLinePunct w:val="0"/>
              <w:autoSpaceDE/>
              <w:autoSpaceDN/>
              <w:bidi w:val="0"/>
              <w:adjustRightInd/>
              <w:snapToGrid/>
              <w:spacing w:line="600" w:lineRule="exact"/>
              <w:jc w:val="center"/>
              <w:textAlignment w:val="auto"/>
              <w:rPr>
                <w:rStyle w:val="5"/>
                <w:rFonts w:hint="eastAsia" w:ascii="宋体" w:hAnsi="宋体" w:eastAsia="宋体" w:cs="宋体"/>
                <w:b w:val="0"/>
                <w:sz w:val="24"/>
                <w:szCs w:val="24"/>
              </w:rPr>
            </w:pPr>
          </w:p>
        </w:tc>
        <w:tc>
          <w:tcPr>
            <w:tcW w:w="1217" w:type="dxa"/>
            <w:tcBorders>
              <w:tl2br w:val="nil"/>
              <w:tr2bl w:val="nil"/>
            </w:tcBorders>
            <w:tcMar>
              <w:top w:w="100" w:type="dxa"/>
              <w:bottom w:w="100"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Style w:val="5"/>
                <w:rFonts w:hint="eastAsia" w:ascii="宋体" w:hAnsi="宋体" w:eastAsia="宋体" w:cs="宋体"/>
                <w:b w:val="0"/>
                <w:sz w:val="24"/>
                <w:szCs w:val="24"/>
              </w:rPr>
            </w:pPr>
            <w:r>
              <w:rPr>
                <w:rFonts w:hint="eastAsia" w:ascii="宋体" w:hAnsi="宋体" w:eastAsia="宋体" w:cs="宋体"/>
                <w:color w:val="000000"/>
                <w:kern w:val="0"/>
                <w:sz w:val="24"/>
                <w:szCs w:val="24"/>
                <w:lang w:val="en-US" w:eastAsia="zh-CN" w:bidi="ar"/>
              </w:rPr>
              <w:t>项目样品</w:t>
            </w:r>
          </w:p>
        </w:tc>
        <w:tc>
          <w:tcPr>
            <w:tcW w:w="783" w:type="dxa"/>
            <w:tcBorders>
              <w:tl2br w:val="nil"/>
              <w:tr2bl w:val="nil"/>
            </w:tcBorders>
            <w:tcMar>
              <w:top w:w="100" w:type="dxa"/>
              <w:bottom w:w="100" w:type="dxa"/>
            </w:tcMar>
            <w:vAlign w:val="center"/>
          </w:tcPr>
          <w:p>
            <w:pPr>
              <w:pStyle w:val="9"/>
              <w:keepNext w:val="0"/>
              <w:keepLines w:val="0"/>
              <w:pageBreakBefore w:val="0"/>
              <w:widowControl/>
              <w:kinsoku/>
              <w:wordWrap/>
              <w:overflowPunct/>
              <w:topLinePunct w:val="0"/>
              <w:autoSpaceDE/>
              <w:autoSpaceDN/>
              <w:bidi w:val="0"/>
              <w:adjustRightInd/>
              <w:snapToGrid/>
              <w:spacing w:line="600" w:lineRule="exact"/>
              <w:jc w:val="center"/>
              <w:textAlignment w:val="auto"/>
              <w:rPr>
                <w:rStyle w:val="5"/>
                <w:rFonts w:hint="eastAsia" w:ascii="宋体" w:hAnsi="宋体" w:eastAsia="宋体" w:cs="宋体"/>
                <w:b w:val="0"/>
                <w:sz w:val="24"/>
                <w:szCs w:val="24"/>
                <w:lang w:val="en-US" w:eastAsia="zh-CN"/>
              </w:rPr>
            </w:pPr>
            <w:r>
              <w:rPr>
                <w:rStyle w:val="5"/>
                <w:rFonts w:hint="eastAsia" w:ascii="宋体" w:hAnsi="宋体" w:eastAsia="宋体" w:cs="宋体"/>
                <w:b w:val="0"/>
                <w:kern w:val="2"/>
                <w:sz w:val="24"/>
                <w:szCs w:val="24"/>
                <w:lang w:val="en-US" w:eastAsia="zh-CN" w:bidi="ar-SA"/>
              </w:rPr>
              <w:t>1</w:t>
            </w:r>
            <w:r>
              <w:rPr>
                <w:rStyle w:val="5"/>
                <w:rFonts w:hint="eastAsia" w:ascii="宋体" w:hAnsi="宋体" w:cs="宋体"/>
                <w:b w:val="0"/>
                <w:kern w:val="2"/>
                <w:sz w:val="24"/>
                <w:szCs w:val="24"/>
                <w:lang w:val="en-US" w:eastAsia="zh-CN" w:bidi="ar-SA"/>
              </w:rPr>
              <w:t>0</w:t>
            </w:r>
          </w:p>
        </w:tc>
        <w:tc>
          <w:tcPr>
            <w:tcW w:w="6900" w:type="dxa"/>
            <w:tcBorders>
              <w:tl2br w:val="nil"/>
              <w:tr2bl w:val="nil"/>
            </w:tcBorders>
            <w:tcMar>
              <w:top w:w="100" w:type="dxa"/>
              <w:bottom w:w="100" w:type="dxa"/>
            </w:tcMar>
            <w:vAlign w:val="center"/>
          </w:tcPr>
          <w:p>
            <w:pPr>
              <w:keepNext w:val="0"/>
              <w:keepLines w:val="0"/>
              <w:pageBreakBefore w:val="0"/>
              <w:widowControl/>
              <w:tabs>
                <w:tab w:val="left" w:pos="426"/>
              </w:tabs>
              <w:kinsoku/>
              <w:wordWrap/>
              <w:overflowPunct/>
              <w:topLinePunct w:val="0"/>
              <w:autoSpaceDE w:val="0"/>
              <w:autoSpaceDN w:val="0"/>
              <w:bidi w:val="0"/>
              <w:adjustRightInd/>
              <w:snapToGrid/>
              <w:spacing w:line="600" w:lineRule="exact"/>
              <w:textAlignment w:val="auto"/>
              <w:rPr>
                <w:rFonts w:hint="eastAsia" w:ascii="宋体" w:hAnsi="宋体" w:eastAsia="宋体" w:cs="宋体"/>
                <w:sz w:val="24"/>
                <w:szCs w:val="24"/>
              </w:rPr>
            </w:pPr>
            <w:r>
              <w:rPr>
                <w:rFonts w:hint="eastAsia" w:ascii="宋体" w:hAnsi="宋体" w:eastAsia="宋体" w:cs="宋体"/>
                <w:sz w:val="24"/>
                <w:szCs w:val="24"/>
              </w:rPr>
              <w:t>评标委员会根据投标人提供的样品进行综合评审。</w:t>
            </w:r>
          </w:p>
          <w:p>
            <w:pPr>
              <w:keepNext w:val="0"/>
              <w:keepLines w:val="0"/>
              <w:pageBreakBefore w:val="0"/>
              <w:widowControl/>
              <w:tabs>
                <w:tab w:val="left" w:pos="426"/>
              </w:tabs>
              <w:kinsoku/>
              <w:wordWrap/>
              <w:overflowPunct/>
              <w:topLinePunct w:val="0"/>
              <w:autoSpaceDE w:val="0"/>
              <w:autoSpaceDN w:val="0"/>
              <w:bidi w:val="0"/>
              <w:adjustRightInd/>
              <w:snapToGrid/>
              <w:spacing w:line="600" w:lineRule="exact"/>
              <w:textAlignment w:val="auto"/>
              <w:rPr>
                <w:rFonts w:hint="eastAsia" w:ascii="宋体" w:hAnsi="宋体" w:eastAsia="宋体" w:cs="宋体"/>
                <w:sz w:val="24"/>
                <w:szCs w:val="24"/>
              </w:rPr>
            </w:pPr>
            <w:r>
              <w:rPr>
                <w:rFonts w:hint="eastAsia" w:ascii="宋体" w:hAnsi="宋体" w:eastAsia="宋体" w:cs="宋体"/>
                <w:sz w:val="24"/>
                <w:szCs w:val="24"/>
              </w:rPr>
              <w:t>（1）样品质地、材质、外观、牢固性、设计制作、制作工艺、扣件等辅料搭配各方面</w:t>
            </w:r>
            <w:r>
              <w:rPr>
                <w:rFonts w:hint="eastAsia" w:ascii="宋体" w:hAnsi="宋体" w:eastAsia="宋体" w:cs="宋体"/>
                <w:sz w:val="24"/>
                <w:szCs w:val="24"/>
                <w:lang w:val="en-US" w:eastAsia="zh-CN"/>
              </w:rPr>
              <w:t>完全满足</w:t>
            </w:r>
            <w:r>
              <w:rPr>
                <w:rFonts w:hint="eastAsia" w:ascii="宋体" w:hAnsi="宋体" w:eastAsia="宋体" w:cs="宋体"/>
                <w:sz w:val="24"/>
                <w:szCs w:val="24"/>
              </w:rPr>
              <w:t>招标文件要求的，得</w:t>
            </w:r>
            <w:r>
              <w:rPr>
                <w:rFonts w:hint="eastAsia" w:ascii="宋体" w:hAnsi="宋体" w:eastAsia="宋体" w:cs="宋体"/>
                <w:sz w:val="24"/>
                <w:szCs w:val="24"/>
                <w:lang w:val="en-US" w:eastAsia="zh-CN"/>
              </w:rPr>
              <w:t>10</w:t>
            </w:r>
            <w:r>
              <w:rPr>
                <w:rFonts w:hint="eastAsia" w:ascii="宋体" w:hAnsi="宋体" w:eastAsia="宋体" w:cs="宋体"/>
                <w:sz w:val="24"/>
                <w:szCs w:val="24"/>
              </w:rPr>
              <w:t>分；</w:t>
            </w:r>
          </w:p>
          <w:p>
            <w:pPr>
              <w:keepNext w:val="0"/>
              <w:keepLines w:val="0"/>
              <w:pageBreakBefore w:val="0"/>
              <w:widowControl/>
              <w:tabs>
                <w:tab w:val="left" w:pos="426"/>
              </w:tabs>
              <w:kinsoku/>
              <w:wordWrap/>
              <w:overflowPunct/>
              <w:topLinePunct w:val="0"/>
              <w:autoSpaceDE w:val="0"/>
              <w:autoSpaceDN w:val="0"/>
              <w:bidi w:val="0"/>
              <w:adjustRightInd/>
              <w:snapToGrid/>
              <w:spacing w:line="600" w:lineRule="exact"/>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2</w:t>
            </w:r>
            <w:r>
              <w:rPr>
                <w:rFonts w:hint="eastAsia" w:ascii="宋体" w:hAnsi="宋体" w:eastAsia="宋体" w:cs="宋体"/>
                <w:sz w:val="24"/>
                <w:szCs w:val="24"/>
              </w:rPr>
              <w:t>）样品质地、材质、外观、牢固性、设计制作、制作工艺、扣件等辅料搭配各方面有欠缺，基本符合招标文件要求的，得</w:t>
            </w:r>
            <w:r>
              <w:rPr>
                <w:rFonts w:hint="eastAsia" w:ascii="宋体" w:hAnsi="宋体" w:eastAsia="宋体" w:cs="宋体"/>
                <w:sz w:val="24"/>
                <w:szCs w:val="24"/>
                <w:lang w:val="en-US" w:eastAsia="zh-CN"/>
              </w:rPr>
              <w:t>6</w:t>
            </w:r>
            <w:r>
              <w:rPr>
                <w:rFonts w:hint="eastAsia" w:ascii="宋体" w:hAnsi="宋体" w:eastAsia="宋体" w:cs="宋体"/>
                <w:sz w:val="24"/>
                <w:szCs w:val="24"/>
              </w:rPr>
              <w:t>分；</w:t>
            </w:r>
          </w:p>
          <w:p>
            <w:pPr>
              <w:pStyle w:val="9"/>
              <w:keepNext w:val="0"/>
              <w:keepLines w:val="0"/>
              <w:pageBreakBefore w:val="0"/>
              <w:widowControl/>
              <w:numPr>
                <w:ilvl w:val="0"/>
                <w:numId w:val="0"/>
              </w:numPr>
              <w:kinsoku/>
              <w:wordWrap/>
              <w:overflowPunct/>
              <w:topLinePunct w:val="0"/>
              <w:autoSpaceDE/>
              <w:autoSpaceDN/>
              <w:bidi w:val="0"/>
              <w:adjustRightInd/>
              <w:snapToGrid/>
              <w:spacing w:line="600" w:lineRule="exact"/>
              <w:jc w:val="left"/>
              <w:textAlignment w:val="auto"/>
              <w:rPr>
                <w:rStyle w:val="5"/>
                <w:rFonts w:hint="eastAsia" w:ascii="宋体" w:hAnsi="宋体" w:eastAsia="宋体" w:cs="宋体"/>
                <w:b w:val="0"/>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3</w:t>
            </w:r>
            <w:r>
              <w:rPr>
                <w:rFonts w:hint="eastAsia" w:ascii="宋体" w:hAnsi="宋体" w:eastAsia="宋体" w:cs="宋体"/>
                <w:sz w:val="24"/>
                <w:szCs w:val="24"/>
              </w:rPr>
              <w:t>）样品质地、材质、外观、牢固性、设计制作、制作工艺、扣件等辅料搭配各方面相比欠缺太多，不太符合招标文件要求的，得4分；</w:t>
            </w:r>
            <w:r>
              <w:rPr>
                <w:rFonts w:hint="eastAsia" w:ascii="宋体" w:hAnsi="宋体" w:eastAsia="宋体" w:cs="宋体"/>
                <w:sz w:val="24"/>
                <w:szCs w:val="24"/>
              </w:rPr>
              <w:br w:type="textWrapping"/>
            </w:r>
            <w:r>
              <w:rPr>
                <w:rFonts w:hint="eastAsia" w:ascii="宋体" w:hAnsi="宋体" w:eastAsia="宋体" w:cs="宋体"/>
                <w:sz w:val="24"/>
                <w:szCs w:val="24"/>
              </w:rPr>
              <w:t>（5）未提供的不得分。</w:t>
            </w:r>
          </w:p>
        </w:tc>
        <w:tc>
          <w:tcPr>
            <w:tcW w:w="774" w:type="dxa"/>
            <w:tcBorders>
              <w:tl2br w:val="nil"/>
              <w:tr2bl w:val="nil"/>
            </w:tcBorders>
            <w:tcMar>
              <w:top w:w="100" w:type="dxa"/>
              <w:bottom w:w="100" w:type="dxa"/>
            </w:tcMar>
            <w:vAlign w:val="center"/>
          </w:tcPr>
          <w:p>
            <w:pPr>
              <w:pStyle w:val="9"/>
              <w:keepNext w:val="0"/>
              <w:keepLines w:val="0"/>
              <w:pageBreakBefore w:val="0"/>
              <w:widowControl/>
              <w:numPr>
                <w:ilvl w:val="0"/>
                <w:numId w:val="0"/>
              </w:numPr>
              <w:kinsoku/>
              <w:wordWrap/>
              <w:overflowPunct/>
              <w:topLinePunct w:val="0"/>
              <w:autoSpaceDE/>
              <w:autoSpaceDN/>
              <w:bidi w:val="0"/>
              <w:adjustRightInd/>
              <w:snapToGrid/>
              <w:spacing w:line="600" w:lineRule="exact"/>
              <w:jc w:val="left"/>
              <w:textAlignment w:val="auto"/>
              <w:rPr>
                <w:rFonts w:hint="eastAsia" w:ascii="宋体" w:hAnsi="宋体" w:eastAsia="宋体" w:cs="宋体"/>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Ex>
        <w:trPr>
          <w:trHeight w:val="1466" w:hRule="atLeast"/>
          <w:jc w:val="center"/>
        </w:trPr>
        <w:tc>
          <w:tcPr>
            <w:tcW w:w="1291" w:type="dxa"/>
            <w:vMerge w:val="continue"/>
            <w:tcBorders>
              <w:tl2br w:val="nil"/>
              <w:tr2bl w:val="nil"/>
            </w:tcBorders>
            <w:tcMar>
              <w:top w:w="100" w:type="dxa"/>
              <w:bottom w:w="100" w:type="dxa"/>
            </w:tcMar>
            <w:vAlign w:val="center"/>
          </w:tcPr>
          <w:p>
            <w:pPr>
              <w:pStyle w:val="9"/>
              <w:keepNext w:val="0"/>
              <w:keepLines w:val="0"/>
              <w:pageBreakBefore w:val="0"/>
              <w:widowControl/>
              <w:kinsoku/>
              <w:wordWrap/>
              <w:overflowPunct/>
              <w:topLinePunct w:val="0"/>
              <w:autoSpaceDE/>
              <w:autoSpaceDN/>
              <w:bidi w:val="0"/>
              <w:adjustRightInd/>
              <w:snapToGrid/>
              <w:spacing w:line="600" w:lineRule="exact"/>
              <w:jc w:val="center"/>
              <w:textAlignment w:val="auto"/>
              <w:rPr>
                <w:rStyle w:val="5"/>
                <w:rFonts w:hint="eastAsia" w:ascii="宋体" w:hAnsi="宋体" w:eastAsia="宋体" w:cs="宋体"/>
                <w:b w:val="0"/>
                <w:sz w:val="24"/>
                <w:szCs w:val="24"/>
              </w:rPr>
            </w:pPr>
          </w:p>
        </w:tc>
        <w:tc>
          <w:tcPr>
            <w:tcW w:w="1217" w:type="dxa"/>
            <w:tcBorders>
              <w:tl2br w:val="nil"/>
              <w:tr2bl w:val="nil"/>
            </w:tcBorders>
            <w:tcMar>
              <w:top w:w="100" w:type="dxa"/>
              <w:bottom w:w="100" w:type="dxa"/>
            </w:tcMar>
            <w:vAlign w:val="center"/>
          </w:tcPr>
          <w:p>
            <w:pPr>
              <w:keepNext w:val="0"/>
              <w:keepLines w:val="0"/>
              <w:pageBreakBefore w:val="0"/>
              <w:widowControl/>
              <w:suppressLineNumbers w:val="0"/>
              <w:kinsoku/>
              <w:wordWrap/>
              <w:overflowPunct/>
              <w:topLinePunct w:val="0"/>
              <w:bidi w:val="0"/>
              <w:adjustRightInd/>
              <w:snapToGrid/>
              <w:spacing w:line="600" w:lineRule="exact"/>
              <w:jc w:val="left"/>
              <w:textAlignment w:val="auto"/>
              <w:rPr>
                <w:rFonts w:hint="eastAsia" w:ascii="宋体" w:hAnsi="宋体" w:eastAsia="宋体" w:cs="宋体"/>
                <w:color w:val="000000"/>
                <w:kern w:val="0"/>
                <w:sz w:val="24"/>
                <w:szCs w:val="24"/>
                <w:lang w:val="en-US" w:eastAsia="zh-CN" w:bidi="ar"/>
              </w:rPr>
            </w:pPr>
            <w:r>
              <w:rPr>
                <w:rStyle w:val="6"/>
                <w:rFonts w:hint="eastAsia" w:ascii="宋体" w:hAnsi="宋体" w:eastAsia="宋体" w:cs="宋体"/>
                <w:b w:val="0"/>
                <w:bCs/>
                <w:kern w:val="0"/>
                <w:sz w:val="24"/>
                <w:szCs w:val="24"/>
                <w:lang w:val="en-US" w:eastAsia="zh-CN" w:bidi="ar"/>
              </w:rPr>
              <w:t>团队实力</w:t>
            </w:r>
          </w:p>
        </w:tc>
        <w:tc>
          <w:tcPr>
            <w:tcW w:w="783" w:type="dxa"/>
            <w:tcBorders>
              <w:tl2br w:val="nil"/>
              <w:tr2bl w:val="nil"/>
            </w:tcBorders>
            <w:tcMar>
              <w:top w:w="100" w:type="dxa"/>
              <w:bottom w:w="100" w:type="dxa"/>
            </w:tcMar>
            <w:vAlign w:val="center"/>
          </w:tcPr>
          <w:p>
            <w:pPr>
              <w:pStyle w:val="9"/>
              <w:keepNext w:val="0"/>
              <w:keepLines w:val="0"/>
              <w:pageBreakBefore w:val="0"/>
              <w:widowControl/>
              <w:kinsoku/>
              <w:wordWrap/>
              <w:overflowPunct/>
              <w:topLinePunct w:val="0"/>
              <w:autoSpaceDE/>
              <w:autoSpaceDN/>
              <w:bidi w:val="0"/>
              <w:adjustRightInd/>
              <w:snapToGrid/>
              <w:spacing w:line="600" w:lineRule="exact"/>
              <w:jc w:val="center"/>
              <w:textAlignment w:val="auto"/>
              <w:rPr>
                <w:rStyle w:val="5"/>
                <w:rFonts w:hint="default" w:ascii="宋体" w:hAnsi="宋体" w:eastAsia="宋体" w:cs="宋体"/>
                <w:b w:val="0"/>
                <w:kern w:val="2"/>
                <w:sz w:val="24"/>
                <w:szCs w:val="24"/>
                <w:lang w:val="en-US" w:eastAsia="zh-CN" w:bidi="ar-SA"/>
              </w:rPr>
            </w:pPr>
            <w:r>
              <w:rPr>
                <w:rStyle w:val="5"/>
                <w:rFonts w:hint="eastAsia" w:ascii="宋体" w:hAnsi="宋体" w:cs="宋体"/>
                <w:b w:val="0"/>
                <w:kern w:val="2"/>
                <w:sz w:val="24"/>
                <w:szCs w:val="24"/>
                <w:lang w:val="en-US" w:eastAsia="zh-CN" w:bidi="ar-SA"/>
              </w:rPr>
              <w:t>10</w:t>
            </w:r>
          </w:p>
        </w:tc>
        <w:tc>
          <w:tcPr>
            <w:tcW w:w="6900" w:type="dxa"/>
            <w:tcBorders>
              <w:tl2br w:val="nil"/>
              <w:tr2bl w:val="nil"/>
            </w:tcBorders>
            <w:tcMar>
              <w:top w:w="100" w:type="dxa"/>
              <w:bottom w:w="100" w:type="dxa"/>
            </w:tcMar>
            <w:vAlign w:val="center"/>
          </w:tcPr>
          <w:p>
            <w:pPr>
              <w:keepNext w:val="0"/>
              <w:keepLines w:val="0"/>
              <w:pageBreakBefore w:val="0"/>
              <w:widowControl/>
              <w:suppressLineNumbers w:val="0"/>
              <w:kinsoku/>
              <w:wordWrap/>
              <w:overflowPunct/>
              <w:topLinePunct w:val="0"/>
              <w:bidi w:val="0"/>
              <w:adjustRightInd/>
              <w:snapToGrid/>
              <w:spacing w:line="600" w:lineRule="exact"/>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配备专业古籍保护技术人员1名、持证从业人员2名及以上，团队经验丰富、人员配置充足，得10分；技术人员1名、持证从业人员1名，人员配置基本齐全，得5分；无技术人员及持证从业人员且团队配置简陋，得1分。</w:t>
            </w:r>
          </w:p>
        </w:tc>
        <w:tc>
          <w:tcPr>
            <w:tcW w:w="774" w:type="dxa"/>
            <w:tcBorders>
              <w:tl2br w:val="nil"/>
              <w:tr2bl w:val="nil"/>
            </w:tcBorders>
            <w:tcMar>
              <w:top w:w="100" w:type="dxa"/>
              <w:bottom w:w="100" w:type="dxa"/>
            </w:tcMar>
            <w:vAlign w:val="center"/>
          </w:tcPr>
          <w:p>
            <w:pPr>
              <w:keepNext w:val="0"/>
              <w:keepLines w:val="0"/>
              <w:pageBreakBefore w:val="0"/>
              <w:widowControl/>
              <w:suppressLineNumbers w:val="0"/>
              <w:kinsoku/>
              <w:wordWrap/>
              <w:overflowPunct/>
              <w:topLinePunct w:val="0"/>
              <w:bidi w:val="0"/>
              <w:adjustRightInd/>
              <w:snapToGrid/>
              <w:spacing w:line="600" w:lineRule="exact"/>
              <w:jc w:val="left"/>
              <w:textAlignment w:val="auto"/>
              <w:rPr>
                <w:rFonts w:hint="eastAsia" w:ascii="宋体" w:hAnsi="宋体" w:eastAsia="宋体" w:cs="宋体"/>
                <w:kern w:val="0"/>
                <w:sz w:val="24"/>
                <w:szCs w:val="24"/>
                <w:lang w:val="en-US" w:eastAsia="zh-CN" w:bidi="ar"/>
              </w:rPr>
            </w:pPr>
          </w:p>
        </w:tc>
      </w:tr>
    </w:tbl>
    <w:p>
      <w:bookmarkStart w:id="0" w:name="_GoBack"/>
      <w:bookmarkEnd w:id="0"/>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2C67C5"/>
    <w:rsid w:val="02D31D27"/>
    <w:rsid w:val="070835E3"/>
    <w:rsid w:val="076866E7"/>
    <w:rsid w:val="0C6F3172"/>
    <w:rsid w:val="0FC95417"/>
    <w:rsid w:val="139477E1"/>
    <w:rsid w:val="2A8D7C32"/>
    <w:rsid w:val="305A2A1D"/>
    <w:rsid w:val="322C67C5"/>
    <w:rsid w:val="34E61A2F"/>
    <w:rsid w:val="38DC01E5"/>
    <w:rsid w:val="3BE26CF0"/>
    <w:rsid w:val="3C28561F"/>
    <w:rsid w:val="3CA85D57"/>
    <w:rsid w:val="4AA10CFF"/>
    <w:rsid w:val="4BE642FE"/>
    <w:rsid w:val="4C651E42"/>
    <w:rsid w:val="4CA02766"/>
    <w:rsid w:val="58FE1236"/>
    <w:rsid w:val="68B563A8"/>
    <w:rsid w:val="6B6F77BF"/>
    <w:rsid w:val="76444B5F"/>
    <w:rsid w:val="7F5D02ED"/>
    <w:rsid w:val="7FE422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snapToGrid w:val="0"/>
      <w:color w:val="000000"/>
      <w:kern w:val="0"/>
      <w:sz w:val="36"/>
      <w:szCs w:val="36"/>
      <w:lang w:val="en-US" w:eastAsia="zh-CN" w:bidi="ar"/>
    </w:rPr>
  </w:style>
  <w:style w:type="paragraph" w:styleId="4">
    <w:name w:val="heading 3"/>
    <w:basedOn w:val="1"/>
    <w:next w:val="1"/>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character" w:styleId="6">
    <w:name w:val="Strong"/>
    <w:basedOn w:val="5"/>
    <w:qFormat/>
    <w:uiPriority w:val="0"/>
    <w:rPr>
      <w:b/>
    </w:rPr>
  </w:style>
  <w:style w:type="paragraph" w:customStyle="1" w:styleId="8">
    <w:name w:val="正文 New New New New New New New New"/>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9">
    <w:name w:val="Normal_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
    <w:name w:val="No Spacing"/>
    <w:qFormat/>
    <w:uiPriority w:val="1"/>
    <w:pPr>
      <w:widowControl w:val="0"/>
      <w:ind w:firstLine="640" w:firstLineChars="200"/>
    </w:pPr>
    <w:rPr>
      <w:rFonts w:ascii="仿宋" w:hAnsi="仿宋" w:eastAsia="仿宋" w:cs="Times New Roman"/>
      <w:kern w:val="2"/>
      <w:sz w:val="32"/>
      <w:szCs w:val="2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451</Words>
  <Characters>483</Characters>
  <Lines>0</Lines>
  <Paragraphs>0</Paragraphs>
  <TotalTime>4</TotalTime>
  <ScaleCrop>false</ScaleCrop>
  <LinksUpToDate>false</LinksUpToDate>
  <CharactersWithSpaces>488</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2026-08-13T03:31:00Z</dcterms:created>
  <dc:creator>L7</dc:creator>
  <cp:lastModifiedBy>Administrator</cp:lastModifiedBy>
  <cp:lastPrinted>2026-09-15T00:34:00Z</cp:lastPrinted>
  <dcterms:modified xsi:type="dcterms:W3CDTF">2026-10-16T02:58:56Z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C8734699A3FC46AA8A939EEED3C0E913_13</vt:lpwstr>
  </property>
  <property fmtid="{D5CDD505-2E9C-101B-9397-08002B2CF9AE}" pid="4" name="KSOTemplateDocerSaveRecord">
    <vt:lpwstr>eyJoZGlkIjoiZmE0ZDJhMTZhYzE2ZGQ0NThjOTBmMWYwNWI2NDc0ZTIiLCJ1c2VySWQiOiI3MDQ3ODM1OTkifQ==</vt:lpwstr>
  </property>
</Properties>
</file>